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D0C170">
      <w:pPr>
        <w:adjustRightInd w:val="0"/>
        <w:snapToGrid w:val="0"/>
        <w:spacing w:line="360" w:lineRule="auto"/>
        <w:rPr>
          <w:rFonts w:ascii="仿宋" w:hAnsi="仿宋" w:eastAsia="仿宋"/>
          <w:sz w:val="44"/>
          <w:szCs w:val="44"/>
        </w:rPr>
      </w:pPr>
      <w:bookmarkStart w:id="0" w:name="_GoBack"/>
      <w:bookmarkEnd w:id="0"/>
    </w:p>
    <w:p w14:paraId="52127C06">
      <w:pPr>
        <w:adjustRightInd w:val="0"/>
        <w:snapToGrid w:val="0"/>
        <w:spacing w:line="360" w:lineRule="auto"/>
        <w:jc w:val="center"/>
        <w:rPr>
          <w:rFonts w:hint="eastAsia" w:ascii="仿宋" w:hAnsi="仿宋" w:eastAsia="仿宋"/>
          <w:sz w:val="44"/>
          <w:szCs w:val="44"/>
        </w:rPr>
      </w:pPr>
      <w:r>
        <w:rPr>
          <w:rFonts w:hint="eastAsia" w:ascii="仿宋" w:hAnsi="仿宋" w:eastAsia="仿宋"/>
          <w:sz w:val="44"/>
          <w:szCs w:val="44"/>
        </w:rPr>
        <w:t xml:space="preserve"> </w:t>
      </w:r>
    </w:p>
    <w:p w14:paraId="377F048E">
      <w:pPr>
        <w:adjustRightInd w:val="0"/>
        <w:snapToGrid w:val="0"/>
        <w:spacing w:line="360" w:lineRule="auto"/>
        <w:jc w:val="center"/>
        <w:rPr>
          <w:rFonts w:hint="eastAsia" w:ascii="仿宋" w:hAnsi="仿宋" w:eastAsia="仿宋"/>
          <w:b/>
          <w:bCs/>
          <w:sz w:val="56"/>
          <w:szCs w:val="56"/>
        </w:rPr>
      </w:pPr>
      <w:r>
        <w:rPr>
          <w:rFonts w:hint="eastAsia" w:ascii="仿宋" w:hAnsi="仿宋" w:eastAsia="仿宋"/>
          <w:b/>
          <w:bCs/>
          <w:sz w:val="44"/>
          <w:szCs w:val="44"/>
          <w:lang w:eastAsia="zh-CN"/>
        </w:rPr>
        <w:t>2026</w:t>
      </w:r>
      <w:r>
        <w:rPr>
          <w:rFonts w:hint="eastAsia" w:ascii="仿宋" w:hAnsi="仿宋" w:eastAsia="仿宋"/>
          <w:b/>
          <w:bCs/>
          <w:i/>
          <w:sz w:val="44"/>
          <w:szCs w:val="44"/>
        </w:rPr>
        <w:t>年焦作市马村区人民法院</w:t>
      </w:r>
      <w:r>
        <w:rPr>
          <w:rFonts w:hint="eastAsia" w:ascii="仿宋" w:hAnsi="仿宋" w:eastAsia="仿宋"/>
          <w:b/>
          <w:bCs/>
          <w:i/>
          <w:sz w:val="44"/>
          <w:szCs w:val="44"/>
          <w:lang w:val="en-US" w:eastAsia="zh-CN"/>
        </w:rPr>
        <w:t>部门</w:t>
      </w:r>
      <w:r>
        <w:rPr>
          <w:rFonts w:hint="eastAsia" w:ascii="仿宋" w:hAnsi="仿宋" w:eastAsia="仿宋"/>
          <w:b/>
          <w:bCs/>
          <w:i/>
          <w:sz w:val="44"/>
          <w:szCs w:val="44"/>
        </w:rPr>
        <w:t>预算公开</w:t>
      </w:r>
    </w:p>
    <w:p w14:paraId="3F0326AC">
      <w:pPr>
        <w:kinsoku w:val="0"/>
        <w:overflowPunct w:val="0"/>
        <w:adjustRightInd w:val="0"/>
        <w:snapToGrid w:val="0"/>
        <w:spacing w:line="360" w:lineRule="auto"/>
        <w:ind w:right="51"/>
        <w:rPr>
          <w:rFonts w:hint="eastAsia" w:ascii="仿宋" w:hAnsi="仿宋" w:eastAsia="仿宋"/>
          <w:b/>
          <w:bCs/>
          <w:sz w:val="44"/>
          <w:szCs w:val="44"/>
        </w:rPr>
      </w:pPr>
      <w:r>
        <w:rPr>
          <w:rFonts w:hint="eastAsia" w:ascii="仿宋" w:hAnsi="仿宋" w:eastAsia="仿宋"/>
          <w:b/>
          <w:bCs/>
          <w:sz w:val="44"/>
          <w:szCs w:val="44"/>
        </w:rPr>
        <w:t xml:space="preserve"> </w:t>
      </w:r>
    </w:p>
    <w:p w14:paraId="5DD8A139">
      <w:pPr>
        <w:kinsoku w:val="0"/>
        <w:overflowPunct w:val="0"/>
        <w:adjustRightInd w:val="0"/>
        <w:snapToGrid w:val="0"/>
        <w:spacing w:line="360" w:lineRule="auto"/>
        <w:ind w:left="-142" w:right="51" w:firstLine="31" w:firstLineChars="7"/>
        <w:jc w:val="center"/>
        <w:rPr>
          <w:rFonts w:hint="eastAsia" w:ascii="仿宋" w:hAnsi="仿宋" w:eastAsia="仿宋"/>
          <w:b/>
          <w:bCs/>
          <w:sz w:val="44"/>
          <w:szCs w:val="44"/>
        </w:rPr>
      </w:pPr>
      <w:r>
        <w:rPr>
          <w:rFonts w:hint="eastAsia" w:ascii="仿宋" w:hAnsi="仿宋" w:eastAsia="仿宋"/>
          <w:b/>
          <w:bCs/>
          <w:sz w:val="44"/>
          <w:szCs w:val="44"/>
        </w:rPr>
        <w:t xml:space="preserve">目 </w:t>
      </w:r>
      <w:r>
        <w:rPr>
          <w:rFonts w:hint="eastAsia" w:ascii="仿宋" w:hAnsi="仿宋" w:eastAsia="仿宋"/>
          <w:b/>
          <w:bCs/>
          <w:spacing w:val="2"/>
          <w:sz w:val="44"/>
          <w:szCs w:val="44"/>
        </w:rPr>
        <w:t xml:space="preserve"> </w:t>
      </w:r>
      <w:r>
        <w:rPr>
          <w:rFonts w:hint="eastAsia" w:ascii="仿宋" w:hAnsi="仿宋" w:eastAsia="仿宋"/>
          <w:b/>
          <w:bCs/>
          <w:sz w:val="44"/>
          <w:szCs w:val="44"/>
        </w:rPr>
        <w:t>录</w:t>
      </w:r>
    </w:p>
    <w:p w14:paraId="7D272A60">
      <w:pPr>
        <w:kinsoku w:val="0"/>
        <w:overflowPunct w:val="0"/>
        <w:adjustRightInd w:val="0"/>
        <w:snapToGrid w:val="0"/>
        <w:spacing w:line="360" w:lineRule="auto"/>
        <w:ind w:left="-142" w:right="51" w:firstLine="693" w:firstLineChars="157"/>
        <w:rPr>
          <w:rFonts w:hint="eastAsia" w:ascii="仿宋" w:hAnsi="仿宋" w:eastAsia="仿宋"/>
          <w:b/>
          <w:bCs/>
          <w:sz w:val="44"/>
          <w:szCs w:val="44"/>
        </w:rPr>
      </w:pPr>
      <w:r>
        <w:rPr>
          <w:rFonts w:hint="eastAsia" w:ascii="仿宋" w:hAnsi="仿宋" w:eastAsia="仿宋"/>
          <w:b/>
          <w:bCs/>
          <w:sz w:val="44"/>
          <w:szCs w:val="44"/>
        </w:rPr>
        <w:t xml:space="preserve"> </w:t>
      </w:r>
    </w:p>
    <w:p w14:paraId="770E9E7F">
      <w:pPr>
        <w:kinsoku w:val="0"/>
        <w:overflowPunct w:val="0"/>
        <w:adjustRightInd w:val="0"/>
        <w:snapToGrid w:val="0"/>
        <w:spacing w:line="360" w:lineRule="auto"/>
        <w:ind w:left="-142" w:right="51" w:firstLine="826" w:firstLineChars="257"/>
        <w:rPr>
          <w:rFonts w:hint="eastAsia" w:ascii="仿宋" w:hAnsi="仿宋" w:eastAsia="仿宋"/>
          <w:b/>
          <w:bCs/>
          <w:sz w:val="32"/>
          <w:szCs w:val="32"/>
        </w:rPr>
      </w:pPr>
      <w:r>
        <w:rPr>
          <w:rFonts w:hint="eastAsia" w:ascii="仿宋" w:hAnsi="仿宋" w:eastAsia="仿宋"/>
          <w:b/>
          <w:bCs/>
          <w:sz w:val="32"/>
          <w:szCs w:val="32"/>
        </w:rPr>
        <w:t>第一部分 焦作市焦作市马村区人民法院概况</w:t>
      </w:r>
    </w:p>
    <w:p w14:paraId="344FC28F">
      <w:pPr>
        <w:kinsoku w:val="0"/>
        <w:overflowPunct w:val="0"/>
        <w:adjustRightInd w:val="0"/>
        <w:snapToGrid w:val="0"/>
        <w:spacing w:line="360" w:lineRule="auto"/>
        <w:ind w:right="3569" w:firstLine="1280" w:firstLineChars="400"/>
        <w:rPr>
          <w:rFonts w:hint="eastAsia" w:ascii="仿宋" w:hAnsi="仿宋" w:eastAsia="仿宋"/>
          <w:b w:val="0"/>
          <w:bCs w:val="0"/>
          <w:sz w:val="32"/>
          <w:szCs w:val="32"/>
        </w:rPr>
      </w:pPr>
      <w:r>
        <w:rPr>
          <w:rFonts w:hint="eastAsia" w:ascii="仿宋" w:hAnsi="仿宋" w:eastAsia="仿宋"/>
          <w:b w:val="0"/>
          <w:bCs w:val="0"/>
          <w:sz w:val="32"/>
          <w:szCs w:val="32"/>
        </w:rPr>
        <w:t>一、主要职责</w:t>
      </w:r>
    </w:p>
    <w:p w14:paraId="24E6A8E3">
      <w:pPr>
        <w:kinsoku w:val="0"/>
        <w:overflowPunct w:val="0"/>
        <w:adjustRightInd w:val="0"/>
        <w:snapToGrid w:val="0"/>
        <w:spacing w:line="360" w:lineRule="auto"/>
        <w:ind w:right="521" w:firstLine="1280" w:firstLineChars="400"/>
        <w:rPr>
          <w:rFonts w:hint="eastAsia" w:ascii="仿宋" w:hAnsi="仿宋" w:eastAsia="仿宋"/>
          <w:b w:val="0"/>
          <w:bCs w:val="0"/>
          <w:sz w:val="32"/>
          <w:szCs w:val="32"/>
        </w:rPr>
      </w:pPr>
      <w:r>
        <w:rPr>
          <w:rFonts w:hint="eastAsia" w:ascii="仿宋" w:hAnsi="仿宋" w:eastAsia="仿宋"/>
          <w:b w:val="0"/>
          <w:bCs w:val="0"/>
          <w:sz w:val="32"/>
          <w:szCs w:val="32"/>
        </w:rPr>
        <w:t>二、部门所属预算单位构成情况</w:t>
      </w:r>
    </w:p>
    <w:p w14:paraId="49454B6D">
      <w:pPr>
        <w:kinsoku w:val="0"/>
        <w:overflowPunct w:val="0"/>
        <w:adjustRightInd w:val="0"/>
        <w:snapToGrid w:val="0"/>
        <w:spacing w:line="360" w:lineRule="auto"/>
        <w:ind w:right="-909" w:firstLine="643" w:firstLineChars="200"/>
        <w:rPr>
          <w:rFonts w:hint="eastAsia" w:ascii="仿宋" w:hAnsi="仿宋" w:eastAsia="仿宋"/>
          <w:b/>
          <w:bCs/>
          <w:sz w:val="32"/>
          <w:szCs w:val="32"/>
        </w:rPr>
      </w:pPr>
      <w:r>
        <w:rPr>
          <w:rFonts w:hint="eastAsia" w:ascii="仿宋" w:hAnsi="仿宋" w:eastAsia="仿宋"/>
          <w:b/>
          <w:bCs/>
          <w:sz w:val="32"/>
          <w:szCs w:val="32"/>
        </w:rPr>
        <w:t>第二部分</w:t>
      </w:r>
      <w:r>
        <w:rPr>
          <w:rFonts w:hint="eastAsia" w:ascii="仿宋" w:hAnsi="仿宋" w:eastAsia="仿宋"/>
          <w:b/>
          <w:bCs/>
          <w:spacing w:val="-38"/>
          <w:sz w:val="32"/>
          <w:szCs w:val="32"/>
        </w:rPr>
        <w:t xml:space="preserve"> </w:t>
      </w:r>
      <w:r>
        <w:rPr>
          <w:rFonts w:hint="eastAsia" w:ascii="仿宋" w:hAnsi="仿宋" w:eastAsia="仿宋"/>
          <w:b/>
          <w:bCs/>
          <w:sz w:val="32"/>
          <w:szCs w:val="32"/>
        </w:rPr>
        <w:t>焦作市马村区人民法院</w:t>
      </w:r>
      <w:r>
        <w:rPr>
          <w:rFonts w:hint="eastAsia" w:ascii="仿宋" w:hAnsi="仿宋" w:eastAsia="仿宋"/>
          <w:b/>
          <w:bCs/>
          <w:spacing w:val="-119"/>
          <w:sz w:val="32"/>
          <w:szCs w:val="32"/>
        </w:rPr>
        <w:t xml:space="preserve"> </w:t>
      </w:r>
      <w:r>
        <w:rPr>
          <w:rFonts w:hint="eastAsia" w:ascii="仿宋" w:hAnsi="仿宋" w:eastAsia="仿宋"/>
          <w:b/>
          <w:bCs/>
          <w:sz w:val="32"/>
          <w:szCs w:val="32"/>
          <w:lang w:eastAsia="zh-CN"/>
        </w:rPr>
        <w:t>2026</w:t>
      </w:r>
      <w:r>
        <w:rPr>
          <w:rFonts w:hint="eastAsia" w:ascii="仿宋" w:hAnsi="仿宋" w:eastAsia="仿宋"/>
          <w:b/>
          <w:bCs/>
          <w:sz w:val="32"/>
          <w:szCs w:val="32"/>
        </w:rPr>
        <w:t xml:space="preserve">年部门预算情况说明 </w:t>
      </w:r>
    </w:p>
    <w:p w14:paraId="3BC7D819">
      <w:pPr>
        <w:kinsoku w:val="0"/>
        <w:overflowPunct w:val="0"/>
        <w:adjustRightInd w:val="0"/>
        <w:snapToGrid w:val="0"/>
        <w:spacing w:line="360" w:lineRule="auto"/>
        <w:ind w:right="521" w:firstLine="643" w:firstLineChars="200"/>
        <w:rPr>
          <w:rFonts w:hint="eastAsia" w:ascii="仿宋" w:hAnsi="仿宋" w:eastAsia="仿宋"/>
          <w:b/>
          <w:bCs/>
          <w:sz w:val="32"/>
          <w:szCs w:val="32"/>
        </w:rPr>
      </w:pPr>
      <w:r>
        <w:rPr>
          <w:rFonts w:hint="eastAsia" w:ascii="仿宋" w:hAnsi="仿宋" w:eastAsia="仿宋"/>
          <w:b/>
          <w:bCs/>
          <w:sz w:val="32"/>
          <w:szCs w:val="32"/>
        </w:rPr>
        <w:t>第三部分</w:t>
      </w:r>
      <w:r>
        <w:rPr>
          <w:rFonts w:hint="eastAsia" w:ascii="仿宋" w:hAnsi="仿宋" w:eastAsia="仿宋"/>
          <w:b/>
          <w:bCs/>
          <w:spacing w:val="-32"/>
          <w:sz w:val="32"/>
          <w:szCs w:val="32"/>
        </w:rPr>
        <w:t xml:space="preserve"> </w:t>
      </w:r>
      <w:r>
        <w:rPr>
          <w:rFonts w:hint="eastAsia" w:ascii="仿宋" w:hAnsi="仿宋" w:eastAsia="仿宋"/>
          <w:b/>
          <w:bCs/>
          <w:sz w:val="32"/>
          <w:szCs w:val="32"/>
        </w:rPr>
        <w:t>名词解释</w:t>
      </w:r>
    </w:p>
    <w:p w14:paraId="09E7B245">
      <w:pPr>
        <w:kinsoku w:val="0"/>
        <w:overflowPunct w:val="0"/>
        <w:adjustRightInd w:val="0"/>
        <w:snapToGrid w:val="0"/>
        <w:spacing w:line="360" w:lineRule="auto"/>
        <w:ind w:firstLine="643" w:firstLineChars="200"/>
        <w:rPr>
          <w:rFonts w:hint="eastAsia" w:ascii="仿宋" w:hAnsi="仿宋" w:eastAsia="仿宋"/>
          <w:sz w:val="32"/>
          <w:szCs w:val="32"/>
        </w:rPr>
      </w:pPr>
      <w:r>
        <w:rPr>
          <w:rFonts w:hint="eastAsia" w:ascii="仿宋" w:hAnsi="仿宋" w:eastAsia="仿宋"/>
          <w:b/>
          <w:bCs/>
          <w:sz w:val="32"/>
          <w:szCs w:val="32"/>
        </w:rPr>
        <w:t>附件：</w:t>
      </w:r>
      <w:r>
        <w:rPr>
          <w:rFonts w:hint="eastAsia" w:ascii="仿宋" w:hAnsi="仿宋" w:eastAsia="仿宋"/>
          <w:b/>
          <w:bCs/>
          <w:spacing w:val="-32"/>
          <w:sz w:val="32"/>
          <w:szCs w:val="32"/>
        </w:rPr>
        <w:t xml:space="preserve"> </w:t>
      </w:r>
      <w:r>
        <w:rPr>
          <w:rFonts w:hint="eastAsia" w:ascii="仿宋" w:hAnsi="仿宋" w:eastAsia="仿宋"/>
          <w:b/>
          <w:bCs/>
          <w:sz w:val="32"/>
          <w:szCs w:val="32"/>
        </w:rPr>
        <w:t>焦作市马村区人民法院</w:t>
      </w:r>
      <w:r>
        <w:rPr>
          <w:rFonts w:hint="eastAsia" w:ascii="仿宋" w:hAnsi="仿宋" w:eastAsia="仿宋"/>
          <w:b/>
          <w:bCs/>
          <w:sz w:val="32"/>
          <w:szCs w:val="32"/>
          <w:lang w:eastAsia="zh-CN"/>
        </w:rPr>
        <w:t>2026</w:t>
      </w:r>
      <w:r>
        <w:rPr>
          <w:rFonts w:hint="eastAsia" w:ascii="仿宋" w:hAnsi="仿宋" w:eastAsia="仿宋"/>
          <w:b/>
          <w:bCs/>
          <w:sz w:val="32"/>
          <w:szCs w:val="32"/>
        </w:rPr>
        <w:t>年部门预算表</w:t>
      </w:r>
    </w:p>
    <w:p w14:paraId="3516A208">
      <w:pPr>
        <w:kinsoku w:val="0"/>
        <w:overflowPunct w:val="0"/>
        <w:adjustRightInd w:val="0"/>
        <w:snapToGrid w:val="0"/>
        <w:spacing w:line="360" w:lineRule="auto"/>
        <w:ind w:right="51" w:firstLine="1280" w:firstLineChars="400"/>
        <w:jc w:val="left"/>
        <w:rPr>
          <w:rFonts w:hint="eastAsia" w:ascii="仿宋" w:hAnsi="仿宋" w:eastAsia="仿宋"/>
          <w:sz w:val="32"/>
          <w:szCs w:val="32"/>
        </w:rPr>
      </w:pPr>
      <w:r>
        <w:rPr>
          <w:rFonts w:hint="eastAsia" w:ascii="仿宋" w:hAnsi="仿宋" w:eastAsia="仿宋"/>
          <w:sz w:val="32"/>
          <w:szCs w:val="32"/>
        </w:rPr>
        <w:t>一、部门收支总体情况表</w:t>
      </w:r>
    </w:p>
    <w:p w14:paraId="287D1406">
      <w:pPr>
        <w:kinsoku w:val="0"/>
        <w:overflowPunct w:val="0"/>
        <w:adjustRightInd w:val="0"/>
        <w:snapToGrid w:val="0"/>
        <w:spacing w:line="360" w:lineRule="auto"/>
        <w:ind w:right="51" w:firstLine="1280" w:firstLineChars="400"/>
        <w:jc w:val="left"/>
        <w:rPr>
          <w:rFonts w:hint="eastAsia" w:ascii="仿宋" w:hAnsi="仿宋" w:eastAsia="仿宋"/>
          <w:sz w:val="32"/>
          <w:szCs w:val="32"/>
        </w:rPr>
      </w:pPr>
      <w:r>
        <w:rPr>
          <w:rFonts w:hint="eastAsia" w:ascii="仿宋" w:hAnsi="仿宋" w:eastAsia="仿宋"/>
          <w:sz w:val="32"/>
          <w:szCs w:val="32"/>
        </w:rPr>
        <w:t>二、部门收入总体情况表</w:t>
      </w:r>
    </w:p>
    <w:p w14:paraId="3BB49969">
      <w:pPr>
        <w:kinsoku w:val="0"/>
        <w:overflowPunct w:val="0"/>
        <w:adjustRightInd w:val="0"/>
        <w:snapToGrid w:val="0"/>
        <w:spacing w:line="360" w:lineRule="auto"/>
        <w:ind w:right="51" w:firstLine="1280" w:firstLineChars="400"/>
        <w:jc w:val="left"/>
        <w:rPr>
          <w:rFonts w:hint="eastAsia" w:ascii="仿宋" w:hAnsi="仿宋" w:eastAsia="仿宋"/>
          <w:sz w:val="32"/>
          <w:szCs w:val="32"/>
        </w:rPr>
      </w:pPr>
      <w:r>
        <w:rPr>
          <w:rFonts w:hint="eastAsia" w:ascii="仿宋" w:hAnsi="仿宋" w:eastAsia="仿宋"/>
          <w:sz w:val="32"/>
          <w:szCs w:val="32"/>
        </w:rPr>
        <w:t>三、部门支出总体情况表</w:t>
      </w:r>
    </w:p>
    <w:p w14:paraId="16B9848F">
      <w:pPr>
        <w:kinsoku w:val="0"/>
        <w:overflowPunct w:val="0"/>
        <w:adjustRightInd w:val="0"/>
        <w:snapToGrid w:val="0"/>
        <w:spacing w:line="360" w:lineRule="auto"/>
        <w:ind w:right="51" w:firstLine="1280" w:firstLineChars="400"/>
        <w:jc w:val="left"/>
        <w:rPr>
          <w:rFonts w:hint="eastAsia" w:ascii="仿宋" w:hAnsi="仿宋" w:eastAsia="仿宋"/>
          <w:sz w:val="32"/>
          <w:szCs w:val="32"/>
        </w:rPr>
      </w:pPr>
      <w:r>
        <w:rPr>
          <w:rFonts w:hint="eastAsia" w:ascii="仿宋" w:hAnsi="仿宋" w:eastAsia="仿宋"/>
          <w:sz w:val="32"/>
          <w:szCs w:val="32"/>
        </w:rPr>
        <w:t>四、财政拨款收支总体情况表</w:t>
      </w:r>
    </w:p>
    <w:p w14:paraId="4FFDB377">
      <w:pPr>
        <w:kinsoku w:val="0"/>
        <w:overflowPunct w:val="0"/>
        <w:adjustRightInd w:val="0"/>
        <w:snapToGrid w:val="0"/>
        <w:spacing w:line="360" w:lineRule="auto"/>
        <w:ind w:right="51" w:firstLine="1280" w:firstLineChars="400"/>
        <w:jc w:val="left"/>
        <w:rPr>
          <w:rFonts w:hint="eastAsia" w:ascii="仿宋" w:hAnsi="仿宋" w:eastAsia="仿宋"/>
          <w:sz w:val="32"/>
          <w:szCs w:val="32"/>
        </w:rPr>
      </w:pPr>
      <w:r>
        <w:rPr>
          <w:rFonts w:hint="eastAsia" w:ascii="仿宋" w:hAnsi="仿宋" w:eastAsia="仿宋"/>
          <w:sz w:val="32"/>
          <w:szCs w:val="32"/>
        </w:rPr>
        <w:t>五、一般公共预算支出情况表</w:t>
      </w:r>
    </w:p>
    <w:p w14:paraId="5DB8C786">
      <w:pPr>
        <w:kinsoku w:val="0"/>
        <w:overflowPunct w:val="0"/>
        <w:adjustRightInd w:val="0"/>
        <w:snapToGrid w:val="0"/>
        <w:spacing w:line="360" w:lineRule="auto"/>
        <w:ind w:right="51" w:firstLine="1280" w:firstLineChars="400"/>
        <w:jc w:val="left"/>
        <w:rPr>
          <w:rFonts w:hint="eastAsia" w:ascii="仿宋" w:hAnsi="仿宋" w:eastAsia="仿宋"/>
          <w:sz w:val="32"/>
          <w:szCs w:val="32"/>
        </w:rPr>
      </w:pPr>
      <w:r>
        <w:rPr>
          <w:rFonts w:hint="eastAsia" w:ascii="仿宋" w:hAnsi="仿宋" w:eastAsia="仿宋"/>
          <w:sz w:val="32"/>
          <w:szCs w:val="32"/>
        </w:rPr>
        <w:t>六、一般公共预算基本支出表</w:t>
      </w:r>
    </w:p>
    <w:p w14:paraId="14E3B05D">
      <w:pPr>
        <w:kinsoku w:val="0"/>
        <w:overflowPunct w:val="0"/>
        <w:adjustRightInd w:val="0"/>
        <w:snapToGrid w:val="0"/>
        <w:spacing w:line="360" w:lineRule="auto"/>
        <w:ind w:right="51" w:firstLine="1280" w:firstLineChars="400"/>
        <w:jc w:val="left"/>
        <w:rPr>
          <w:rFonts w:hint="eastAsia" w:ascii="仿宋" w:hAnsi="仿宋" w:eastAsia="仿宋"/>
          <w:sz w:val="32"/>
          <w:szCs w:val="32"/>
        </w:rPr>
      </w:pPr>
      <w:r>
        <w:rPr>
          <w:rFonts w:hint="eastAsia" w:ascii="仿宋" w:hAnsi="仿宋" w:eastAsia="仿宋"/>
          <w:sz w:val="32"/>
          <w:szCs w:val="32"/>
        </w:rPr>
        <w:t>七、</w:t>
      </w:r>
      <w:r>
        <w:rPr>
          <w:rFonts w:hint="eastAsia" w:ascii="仿宋" w:hAnsi="仿宋" w:eastAsia="仿宋"/>
          <w:kern w:val="0"/>
          <w:sz w:val="32"/>
          <w:szCs w:val="32"/>
        </w:rPr>
        <w:t>支出经济分类汇总表</w:t>
      </w:r>
    </w:p>
    <w:p w14:paraId="62E9F55D">
      <w:pPr>
        <w:kinsoku w:val="0"/>
        <w:overflowPunct w:val="0"/>
        <w:adjustRightInd w:val="0"/>
        <w:snapToGrid w:val="0"/>
        <w:spacing w:line="360" w:lineRule="auto"/>
        <w:ind w:right="51" w:firstLine="1280" w:firstLineChars="400"/>
        <w:jc w:val="left"/>
        <w:rPr>
          <w:rFonts w:hint="eastAsia" w:ascii="仿宋" w:hAnsi="仿宋" w:eastAsia="仿宋"/>
          <w:sz w:val="32"/>
          <w:szCs w:val="32"/>
        </w:rPr>
      </w:pPr>
      <w:r>
        <w:rPr>
          <w:rFonts w:hint="eastAsia" w:ascii="仿宋" w:hAnsi="仿宋" w:eastAsia="仿宋"/>
          <w:sz w:val="32"/>
          <w:szCs w:val="32"/>
        </w:rPr>
        <w:t>八、一般公共预算“三公”经费支出情况表</w:t>
      </w:r>
    </w:p>
    <w:p w14:paraId="26124C63">
      <w:pPr>
        <w:kinsoku w:val="0"/>
        <w:overflowPunct w:val="0"/>
        <w:adjustRightInd w:val="0"/>
        <w:snapToGrid w:val="0"/>
        <w:spacing w:line="360" w:lineRule="auto"/>
        <w:ind w:right="51" w:firstLine="1280" w:firstLineChars="400"/>
        <w:jc w:val="left"/>
        <w:rPr>
          <w:rFonts w:hint="eastAsia" w:ascii="仿宋" w:hAnsi="仿宋" w:eastAsia="仿宋"/>
          <w:sz w:val="32"/>
          <w:szCs w:val="32"/>
        </w:rPr>
      </w:pPr>
      <w:r>
        <w:rPr>
          <w:rFonts w:hint="eastAsia" w:ascii="仿宋" w:hAnsi="仿宋" w:eastAsia="仿宋"/>
          <w:sz w:val="32"/>
          <w:szCs w:val="32"/>
        </w:rPr>
        <w:t>九、政府性基金支出情况表</w:t>
      </w:r>
    </w:p>
    <w:p w14:paraId="1BA2CD63">
      <w:pPr>
        <w:kinsoku w:val="0"/>
        <w:overflowPunct w:val="0"/>
        <w:adjustRightInd w:val="0"/>
        <w:snapToGrid w:val="0"/>
        <w:spacing w:line="360" w:lineRule="auto"/>
        <w:ind w:right="51" w:firstLine="1280" w:firstLineChars="400"/>
        <w:jc w:val="left"/>
        <w:rPr>
          <w:rFonts w:hint="eastAsia" w:ascii="仿宋" w:hAnsi="仿宋" w:eastAsia="仿宋"/>
          <w:sz w:val="32"/>
          <w:szCs w:val="32"/>
        </w:rPr>
      </w:pPr>
      <w:r>
        <w:rPr>
          <w:rFonts w:hint="eastAsia" w:ascii="仿宋" w:hAnsi="仿宋" w:eastAsia="仿宋"/>
          <w:sz w:val="32"/>
          <w:szCs w:val="32"/>
        </w:rPr>
        <w:t>十、项目支出表</w:t>
      </w:r>
    </w:p>
    <w:p w14:paraId="338B8A27">
      <w:pPr>
        <w:kinsoku w:val="0"/>
        <w:overflowPunct w:val="0"/>
        <w:adjustRightInd w:val="0"/>
        <w:snapToGrid w:val="0"/>
        <w:spacing w:line="360" w:lineRule="auto"/>
        <w:ind w:right="51" w:firstLine="1280" w:firstLineChars="400"/>
        <w:jc w:val="left"/>
        <w:rPr>
          <w:rFonts w:hint="eastAsia" w:ascii="仿宋" w:hAnsi="仿宋" w:eastAsia="仿宋"/>
          <w:sz w:val="32"/>
          <w:szCs w:val="32"/>
        </w:rPr>
      </w:pPr>
      <w:r>
        <w:rPr>
          <w:rFonts w:hint="eastAsia" w:ascii="仿宋" w:hAnsi="仿宋" w:eastAsia="仿宋"/>
          <w:sz w:val="32"/>
          <w:szCs w:val="32"/>
        </w:rPr>
        <w:t>十一、部门（单位）整体绩效目标表</w:t>
      </w:r>
    </w:p>
    <w:p w14:paraId="2D4DBBA5">
      <w:pPr>
        <w:kinsoku w:val="0"/>
        <w:overflowPunct w:val="0"/>
        <w:adjustRightInd w:val="0"/>
        <w:snapToGrid w:val="0"/>
        <w:spacing w:line="360" w:lineRule="auto"/>
        <w:ind w:right="51" w:firstLine="1280" w:firstLineChars="400"/>
        <w:jc w:val="left"/>
        <w:rPr>
          <w:rFonts w:hint="eastAsia" w:ascii="仿宋" w:hAnsi="仿宋" w:eastAsia="仿宋"/>
          <w:sz w:val="32"/>
          <w:szCs w:val="32"/>
        </w:rPr>
      </w:pPr>
      <w:r>
        <w:rPr>
          <w:rFonts w:hint="eastAsia" w:ascii="仿宋" w:hAnsi="仿宋" w:eastAsia="仿宋"/>
          <w:sz w:val="32"/>
          <w:szCs w:val="32"/>
        </w:rPr>
        <w:t>十二、部门预算项目绩效目标汇总表</w:t>
      </w:r>
    </w:p>
    <w:p w14:paraId="6C2DD5A5">
      <w:pPr>
        <w:adjustRightInd w:val="0"/>
        <w:snapToGrid w:val="0"/>
        <w:spacing w:line="360" w:lineRule="auto"/>
        <w:jc w:val="center"/>
        <w:rPr>
          <w:rFonts w:hint="eastAsia" w:ascii="仿宋" w:hAnsi="仿宋" w:eastAsia="仿宋"/>
          <w:b/>
          <w:bCs/>
          <w:sz w:val="36"/>
          <w:szCs w:val="36"/>
        </w:rPr>
      </w:pPr>
      <w:r>
        <w:rPr>
          <w:rFonts w:hint="eastAsia" w:ascii="仿宋" w:hAnsi="仿宋" w:eastAsia="仿宋"/>
          <w:sz w:val="32"/>
          <w:szCs w:val="32"/>
        </w:rPr>
        <w:br w:type="page"/>
      </w:r>
      <w:r>
        <w:rPr>
          <w:rFonts w:hint="eastAsia" w:ascii="仿宋" w:hAnsi="仿宋" w:eastAsia="仿宋"/>
          <w:b/>
          <w:bCs/>
          <w:sz w:val="36"/>
          <w:szCs w:val="36"/>
        </w:rPr>
        <w:t>第一部分</w:t>
      </w:r>
    </w:p>
    <w:p w14:paraId="4C4CC5CC">
      <w:pPr>
        <w:adjustRightInd w:val="0"/>
        <w:snapToGrid w:val="0"/>
        <w:spacing w:line="360" w:lineRule="auto"/>
        <w:jc w:val="center"/>
        <w:rPr>
          <w:rFonts w:hint="eastAsia" w:ascii="仿宋" w:hAnsi="仿宋" w:eastAsia="仿宋"/>
          <w:sz w:val="36"/>
          <w:szCs w:val="36"/>
        </w:rPr>
      </w:pPr>
      <w:r>
        <w:rPr>
          <w:rFonts w:hint="eastAsia" w:ascii="仿宋" w:hAnsi="仿宋" w:eastAsia="仿宋"/>
          <w:b/>
          <w:bCs/>
          <w:sz w:val="36"/>
          <w:szCs w:val="36"/>
        </w:rPr>
        <w:t>焦作市马村区人民法院概况</w:t>
      </w:r>
    </w:p>
    <w:p w14:paraId="033F5F52">
      <w:pPr>
        <w:adjustRightInd w:val="0"/>
        <w:snapToGrid w:val="0"/>
        <w:spacing w:line="360" w:lineRule="auto"/>
        <w:ind w:firstLine="640" w:firstLineChars="200"/>
        <w:jc w:val="center"/>
        <w:rPr>
          <w:rFonts w:hint="eastAsia" w:ascii="仿宋" w:hAnsi="仿宋" w:eastAsia="仿宋"/>
          <w:sz w:val="32"/>
          <w:szCs w:val="32"/>
        </w:rPr>
      </w:pPr>
      <w:r>
        <w:rPr>
          <w:rFonts w:hint="eastAsia" w:ascii="仿宋" w:hAnsi="仿宋" w:eastAsia="仿宋"/>
          <w:sz w:val="32"/>
          <w:szCs w:val="32"/>
        </w:rPr>
        <w:t xml:space="preserve"> </w:t>
      </w:r>
    </w:p>
    <w:p w14:paraId="58EFF7CF">
      <w:pPr>
        <w:adjustRightInd w:val="0"/>
        <w:snapToGrid w:val="0"/>
        <w:spacing w:line="360" w:lineRule="auto"/>
        <w:ind w:firstLine="643" w:firstLineChars="200"/>
        <w:rPr>
          <w:rFonts w:hint="eastAsia" w:ascii="仿宋" w:hAnsi="仿宋" w:eastAsia="仿宋"/>
          <w:b/>
          <w:bCs/>
          <w:sz w:val="32"/>
          <w:szCs w:val="32"/>
        </w:rPr>
      </w:pPr>
      <w:r>
        <w:rPr>
          <w:rFonts w:hint="eastAsia" w:ascii="仿宋" w:hAnsi="仿宋" w:eastAsia="仿宋"/>
          <w:b/>
          <w:bCs/>
          <w:sz w:val="32"/>
          <w:szCs w:val="32"/>
        </w:rPr>
        <w:t>一、焦作市马村区人民法院主要职责</w:t>
      </w:r>
    </w:p>
    <w:p w14:paraId="36FDCFD8">
      <w:pPr>
        <w:adjustRightInd w:val="0"/>
        <w:snapToGrid w:val="0"/>
        <w:spacing w:line="360" w:lineRule="auto"/>
        <w:ind w:firstLine="640" w:firstLineChars="200"/>
        <w:rPr>
          <w:rFonts w:hint="eastAsia" w:ascii="仿宋" w:hAnsi="仿宋" w:eastAsia="仿宋"/>
          <w:kern w:val="0"/>
          <w:sz w:val="32"/>
          <w:szCs w:val="32"/>
        </w:rPr>
      </w:pPr>
      <w:r>
        <w:rPr>
          <w:rFonts w:hint="eastAsia" w:ascii="仿宋" w:hAnsi="仿宋" w:eastAsia="仿宋"/>
          <w:kern w:val="0"/>
          <w:sz w:val="32"/>
          <w:szCs w:val="32"/>
        </w:rPr>
        <w:t>（一）审判法律规定由基层法院管辖的刑事、民事、行政等一审案件。</w:t>
      </w:r>
    </w:p>
    <w:p w14:paraId="44B9C40B">
      <w:pPr>
        <w:adjustRightInd w:val="0"/>
        <w:snapToGrid w:val="0"/>
        <w:spacing w:line="360" w:lineRule="auto"/>
        <w:ind w:firstLine="640" w:firstLineChars="200"/>
        <w:rPr>
          <w:rFonts w:hint="eastAsia" w:ascii="仿宋" w:hAnsi="仿宋" w:eastAsia="仿宋"/>
          <w:kern w:val="0"/>
          <w:sz w:val="32"/>
          <w:szCs w:val="32"/>
        </w:rPr>
      </w:pPr>
      <w:r>
        <w:rPr>
          <w:rFonts w:hint="eastAsia" w:ascii="仿宋" w:hAnsi="仿宋" w:eastAsia="仿宋"/>
          <w:kern w:val="0"/>
          <w:sz w:val="32"/>
          <w:szCs w:val="32"/>
        </w:rPr>
        <w:t>（二）依法审理由上级指令再审的案件。审理由人民检察院按照审判监督程序提起的抗诉案件。受理不服本院判决、裁定的各类申诉和再审，对其中确有错误并已发生法律效力的判决、裁定，依法再审。</w:t>
      </w:r>
    </w:p>
    <w:p w14:paraId="54363648">
      <w:pPr>
        <w:adjustRightInd w:val="0"/>
        <w:snapToGrid w:val="0"/>
        <w:spacing w:line="360" w:lineRule="auto"/>
        <w:ind w:firstLine="640" w:firstLineChars="200"/>
        <w:rPr>
          <w:rFonts w:hint="eastAsia" w:ascii="仿宋" w:hAnsi="仿宋" w:eastAsia="仿宋"/>
          <w:sz w:val="32"/>
          <w:szCs w:val="32"/>
        </w:rPr>
      </w:pPr>
      <w:r>
        <w:rPr>
          <w:rFonts w:hint="eastAsia" w:ascii="仿宋" w:hAnsi="仿宋" w:eastAsia="仿宋"/>
          <w:sz w:val="32"/>
          <w:szCs w:val="32"/>
        </w:rPr>
        <w:t>（三）依法行使司法执行权和司法决定权，执行本院作出的已经发生法律效力的判决、裁定以及国家行政机关申请执行的案件和外地法院委托执行的案件。</w:t>
      </w:r>
    </w:p>
    <w:p w14:paraId="164855E1">
      <w:pPr>
        <w:adjustRightInd w:val="0"/>
        <w:snapToGrid w:val="0"/>
        <w:spacing w:line="360" w:lineRule="auto"/>
        <w:ind w:firstLine="640" w:firstLineChars="200"/>
        <w:rPr>
          <w:rFonts w:hint="eastAsia" w:ascii="仿宋" w:hAnsi="仿宋" w:eastAsia="仿宋"/>
          <w:sz w:val="32"/>
          <w:szCs w:val="32"/>
        </w:rPr>
      </w:pPr>
      <w:r>
        <w:rPr>
          <w:rFonts w:hint="eastAsia" w:ascii="仿宋" w:hAnsi="仿宋" w:eastAsia="仿宋"/>
          <w:sz w:val="32"/>
          <w:szCs w:val="32"/>
        </w:rPr>
        <w:t>（四）调查研究审判工作中的法律、法规、规章、政策及疑难问题，针对案件审理中发现的问题提出司法建议。</w:t>
      </w:r>
    </w:p>
    <w:p w14:paraId="70663A75">
      <w:pPr>
        <w:adjustRightInd w:val="0"/>
        <w:snapToGrid w:val="0"/>
        <w:spacing w:line="360" w:lineRule="auto"/>
        <w:ind w:firstLine="640" w:firstLineChars="200"/>
        <w:rPr>
          <w:rFonts w:hint="eastAsia" w:ascii="仿宋" w:hAnsi="仿宋" w:eastAsia="仿宋"/>
          <w:sz w:val="32"/>
          <w:szCs w:val="32"/>
        </w:rPr>
      </w:pPr>
      <w:r>
        <w:rPr>
          <w:rFonts w:hint="eastAsia" w:ascii="仿宋" w:hAnsi="仿宋" w:eastAsia="仿宋"/>
          <w:sz w:val="32"/>
          <w:szCs w:val="32"/>
        </w:rPr>
        <w:t>（五）负责本院干部队伍思想教育、表彰奖励和教育培训工作；按照干部管理权限管理法官、执行员、书记员、司法警察及司法行政人员。</w:t>
      </w:r>
    </w:p>
    <w:p w14:paraId="5C108312">
      <w:pPr>
        <w:adjustRightInd w:val="0"/>
        <w:snapToGrid w:val="0"/>
        <w:spacing w:line="360" w:lineRule="auto"/>
        <w:ind w:firstLine="640" w:firstLineChars="200"/>
        <w:rPr>
          <w:rFonts w:hint="eastAsia" w:ascii="仿宋" w:hAnsi="仿宋" w:eastAsia="仿宋"/>
          <w:sz w:val="32"/>
          <w:szCs w:val="32"/>
        </w:rPr>
      </w:pPr>
      <w:r>
        <w:rPr>
          <w:rFonts w:hint="eastAsia" w:ascii="仿宋" w:hAnsi="仿宋" w:eastAsia="仿宋"/>
          <w:sz w:val="32"/>
          <w:szCs w:val="32"/>
        </w:rPr>
        <w:t>(六)领导本院的监察工作。</w:t>
      </w:r>
    </w:p>
    <w:p w14:paraId="095A401C">
      <w:pPr>
        <w:adjustRightInd w:val="0"/>
        <w:snapToGrid w:val="0"/>
        <w:spacing w:line="360" w:lineRule="auto"/>
        <w:ind w:firstLine="480" w:firstLineChars="150"/>
        <w:rPr>
          <w:rFonts w:hint="eastAsia" w:ascii="仿宋" w:hAnsi="仿宋" w:eastAsia="仿宋"/>
          <w:sz w:val="32"/>
          <w:szCs w:val="32"/>
        </w:rPr>
      </w:pPr>
      <w:r>
        <w:rPr>
          <w:rFonts w:hint="eastAsia" w:ascii="仿宋" w:hAnsi="仿宋" w:eastAsia="仿宋"/>
          <w:sz w:val="32"/>
          <w:szCs w:val="32"/>
        </w:rPr>
        <w:t>（七）管理本院的有关经费和物资装备。</w:t>
      </w:r>
    </w:p>
    <w:p w14:paraId="164508AD">
      <w:pPr>
        <w:adjustRightInd w:val="0"/>
        <w:snapToGrid w:val="0"/>
        <w:spacing w:line="360" w:lineRule="auto"/>
        <w:ind w:firstLine="480" w:firstLineChars="150"/>
        <w:rPr>
          <w:rFonts w:hint="eastAsia" w:ascii="仿宋" w:hAnsi="仿宋" w:eastAsia="仿宋"/>
          <w:sz w:val="32"/>
          <w:szCs w:val="32"/>
        </w:rPr>
      </w:pPr>
      <w:r>
        <w:rPr>
          <w:rFonts w:hint="eastAsia" w:ascii="仿宋" w:hAnsi="仿宋" w:eastAsia="仿宋"/>
          <w:sz w:val="32"/>
          <w:szCs w:val="32"/>
        </w:rPr>
        <w:t>（八）在业务工作中宣传法制，教育公民忠于社会主义祖国，自觉遵守宪法、法律、法规和社会功德。</w:t>
      </w:r>
    </w:p>
    <w:p w14:paraId="34526F52">
      <w:pPr>
        <w:adjustRightInd w:val="0"/>
        <w:snapToGrid w:val="0"/>
        <w:spacing w:line="360" w:lineRule="auto"/>
        <w:ind w:firstLine="640" w:firstLineChars="200"/>
        <w:rPr>
          <w:rFonts w:hint="eastAsia" w:ascii="仿宋" w:hAnsi="仿宋" w:eastAsia="仿宋"/>
          <w:sz w:val="32"/>
          <w:szCs w:val="32"/>
        </w:rPr>
      </w:pPr>
      <w:r>
        <w:rPr>
          <w:rFonts w:hint="eastAsia" w:ascii="仿宋" w:hAnsi="仿宋" w:eastAsia="仿宋"/>
          <w:sz w:val="32"/>
          <w:szCs w:val="32"/>
        </w:rPr>
        <w:t>（九）承办其他应由本院负责的工作。</w:t>
      </w:r>
    </w:p>
    <w:p w14:paraId="60DC9C56">
      <w:pPr>
        <w:adjustRightInd w:val="0"/>
        <w:snapToGrid w:val="0"/>
        <w:spacing w:line="360" w:lineRule="auto"/>
        <w:ind w:firstLine="643" w:firstLineChars="200"/>
        <w:rPr>
          <w:rFonts w:hint="eastAsia" w:ascii="仿宋" w:hAnsi="仿宋" w:eastAsia="仿宋"/>
          <w:b/>
          <w:bCs/>
          <w:sz w:val="32"/>
          <w:szCs w:val="32"/>
        </w:rPr>
      </w:pPr>
      <w:r>
        <w:rPr>
          <w:rFonts w:hint="eastAsia" w:ascii="仿宋" w:hAnsi="仿宋" w:eastAsia="仿宋"/>
          <w:b/>
          <w:bCs/>
          <w:sz w:val="32"/>
          <w:szCs w:val="32"/>
        </w:rPr>
        <w:t>二、焦作市马村区人民法院所属预算单位构成情况</w:t>
      </w:r>
    </w:p>
    <w:p w14:paraId="24A533A9">
      <w:pPr>
        <w:kinsoku w:val="0"/>
        <w:overflowPunct w:val="0"/>
        <w:autoSpaceDE w:val="0"/>
        <w:autoSpaceDN w:val="0"/>
        <w:adjustRightInd w:val="0"/>
        <w:snapToGrid w:val="0"/>
        <w:spacing w:line="360" w:lineRule="auto"/>
        <w:ind w:left="121" w:right="118" w:firstLine="640" w:firstLineChars="200"/>
        <w:jc w:val="left"/>
        <w:rPr>
          <w:rFonts w:hint="eastAsia" w:ascii="仿宋" w:hAnsi="仿宋" w:eastAsia="仿宋"/>
          <w:spacing w:val="-1"/>
          <w:kern w:val="0"/>
          <w:sz w:val="32"/>
          <w:szCs w:val="32"/>
        </w:rPr>
      </w:pPr>
      <w:r>
        <w:rPr>
          <w:rFonts w:hint="eastAsia" w:ascii="仿宋" w:hAnsi="仿宋" w:eastAsia="仿宋"/>
          <w:kern w:val="0"/>
          <w:sz w:val="32"/>
          <w:szCs w:val="32"/>
        </w:rPr>
        <w:t>焦作市马村区人民法院</w:t>
      </w:r>
      <w:r>
        <w:rPr>
          <w:rFonts w:hint="eastAsia" w:ascii="仿宋" w:hAnsi="仿宋" w:eastAsia="仿宋"/>
          <w:spacing w:val="2"/>
          <w:kern w:val="0"/>
          <w:sz w:val="32"/>
          <w:szCs w:val="32"/>
        </w:rPr>
        <w:t>部门</w:t>
      </w:r>
      <w:r>
        <w:rPr>
          <w:rFonts w:hint="eastAsia" w:ascii="仿宋" w:hAnsi="仿宋" w:eastAsia="仿宋"/>
          <w:kern w:val="0"/>
          <w:sz w:val="32"/>
          <w:szCs w:val="32"/>
        </w:rPr>
        <w:t>预算</w:t>
      </w:r>
      <w:r>
        <w:rPr>
          <w:rFonts w:hint="eastAsia" w:ascii="仿宋" w:hAnsi="仿宋" w:eastAsia="仿宋"/>
          <w:spacing w:val="2"/>
          <w:kern w:val="0"/>
          <w:sz w:val="32"/>
          <w:szCs w:val="32"/>
        </w:rPr>
        <w:t>包括</w:t>
      </w:r>
      <w:r>
        <w:rPr>
          <w:rFonts w:hint="eastAsia" w:ascii="仿宋" w:hAnsi="仿宋" w:eastAsia="仿宋"/>
          <w:kern w:val="0"/>
          <w:sz w:val="32"/>
          <w:szCs w:val="32"/>
        </w:rPr>
        <w:t>院</w:t>
      </w:r>
      <w:r>
        <w:rPr>
          <w:rFonts w:hint="eastAsia" w:ascii="仿宋" w:hAnsi="仿宋" w:eastAsia="仿宋"/>
          <w:spacing w:val="2"/>
          <w:kern w:val="0"/>
          <w:sz w:val="32"/>
          <w:szCs w:val="32"/>
        </w:rPr>
        <w:t>机关本级</w:t>
      </w:r>
      <w:r>
        <w:rPr>
          <w:rFonts w:hint="eastAsia" w:ascii="仿宋" w:hAnsi="仿宋" w:eastAsia="仿宋"/>
          <w:spacing w:val="-1"/>
          <w:kern w:val="0"/>
          <w:sz w:val="32"/>
          <w:szCs w:val="32"/>
        </w:rPr>
        <w:t>预算</w:t>
      </w:r>
      <w:r>
        <w:rPr>
          <w:rFonts w:hint="eastAsia" w:ascii="仿宋" w:hAnsi="仿宋" w:eastAsia="仿宋"/>
          <w:spacing w:val="2"/>
          <w:kern w:val="0"/>
          <w:sz w:val="32"/>
          <w:szCs w:val="32"/>
        </w:rPr>
        <w:t>和院属</w:t>
      </w:r>
      <w:r>
        <w:rPr>
          <w:rFonts w:hint="eastAsia" w:ascii="仿宋" w:hAnsi="仿宋" w:eastAsia="仿宋"/>
          <w:spacing w:val="-1"/>
          <w:kern w:val="0"/>
          <w:sz w:val="32"/>
          <w:szCs w:val="32"/>
        </w:rPr>
        <w:t>单位预算。</w:t>
      </w:r>
    </w:p>
    <w:p w14:paraId="1636F091">
      <w:pPr>
        <w:kinsoku w:val="0"/>
        <w:overflowPunct w:val="0"/>
        <w:autoSpaceDE w:val="0"/>
        <w:autoSpaceDN w:val="0"/>
        <w:adjustRightInd w:val="0"/>
        <w:snapToGrid w:val="0"/>
        <w:spacing w:line="360" w:lineRule="auto"/>
        <w:ind w:left="121" w:right="118" w:firstLine="636" w:firstLineChars="200"/>
        <w:jc w:val="left"/>
        <w:rPr>
          <w:rFonts w:hint="eastAsia" w:ascii="仿宋" w:hAnsi="仿宋" w:eastAsia="仿宋"/>
          <w:spacing w:val="-1"/>
          <w:kern w:val="0"/>
          <w:sz w:val="32"/>
          <w:szCs w:val="32"/>
        </w:rPr>
      </w:pPr>
      <w:r>
        <w:rPr>
          <w:rFonts w:hint="eastAsia" w:ascii="仿宋" w:hAnsi="仿宋" w:eastAsia="仿宋"/>
          <w:spacing w:val="-1"/>
          <w:kern w:val="0"/>
          <w:sz w:val="32"/>
          <w:szCs w:val="32"/>
        </w:rPr>
        <w:t>院机关本级预算包括：综合办公室、政治部、诉讼服务中心（立案庭）、综合审判庭、执行局等机构的预算。</w:t>
      </w:r>
    </w:p>
    <w:p w14:paraId="0CBCB16B">
      <w:pPr>
        <w:adjustRightInd w:val="0"/>
        <w:snapToGrid w:val="0"/>
        <w:spacing w:line="360" w:lineRule="auto"/>
        <w:jc w:val="center"/>
        <w:rPr>
          <w:rFonts w:hint="eastAsia" w:ascii="仿宋" w:hAnsi="仿宋" w:eastAsia="仿宋"/>
          <w:spacing w:val="-38"/>
          <w:sz w:val="36"/>
          <w:szCs w:val="36"/>
        </w:rPr>
      </w:pPr>
      <w:r>
        <w:rPr>
          <w:rFonts w:hint="eastAsia" w:ascii="仿宋" w:hAnsi="仿宋" w:eastAsia="仿宋"/>
          <w:sz w:val="32"/>
          <w:szCs w:val="32"/>
        </w:rPr>
        <w:br w:type="page"/>
      </w:r>
      <w:r>
        <w:rPr>
          <w:rFonts w:hint="eastAsia" w:ascii="仿宋" w:hAnsi="仿宋" w:eastAsia="仿宋"/>
          <w:sz w:val="36"/>
          <w:szCs w:val="36"/>
        </w:rPr>
        <w:t>第二部分</w:t>
      </w:r>
    </w:p>
    <w:p w14:paraId="3EA571C8">
      <w:pPr>
        <w:adjustRightInd w:val="0"/>
        <w:snapToGrid w:val="0"/>
        <w:spacing w:line="360" w:lineRule="auto"/>
        <w:jc w:val="center"/>
        <w:rPr>
          <w:rFonts w:hint="eastAsia" w:ascii="仿宋" w:hAnsi="仿宋" w:eastAsia="仿宋"/>
          <w:sz w:val="36"/>
          <w:szCs w:val="36"/>
        </w:rPr>
      </w:pPr>
      <w:r>
        <w:rPr>
          <w:rFonts w:hint="eastAsia" w:ascii="仿宋" w:hAnsi="仿宋" w:eastAsia="仿宋"/>
          <w:sz w:val="36"/>
          <w:szCs w:val="36"/>
        </w:rPr>
        <w:t>焦作市马村区人民法院</w:t>
      </w:r>
      <w:r>
        <w:rPr>
          <w:rFonts w:hint="eastAsia" w:ascii="仿宋" w:hAnsi="仿宋" w:eastAsia="仿宋"/>
          <w:sz w:val="36"/>
          <w:szCs w:val="36"/>
          <w:lang w:eastAsia="zh-CN"/>
        </w:rPr>
        <w:t>2026</w:t>
      </w:r>
      <w:r>
        <w:rPr>
          <w:rFonts w:hint="eastAsia" w:ascii="仿宋" w:hAnsi="仿宋" w:eastAsia="仿宋"/>
          <w:sz w:val="36"/>
          <w:szCs w:val="36"/>
        </w:rPr>
        <w:t>年部门预算情况说明</w:t>
      </w:r>
    </w:p>
    <w:p w14:paraId="65A45A65">
      <w:pPr>
        <w:adjustRightInd w:val="0"/>
        <w:snapToGrid w:val="0"/>
        <w:spacing w:line="580" w:lineRule="exact"/>
        <w:ind w:firstLine="640" w:firstLineChars="200"/>
        <w:rPr>
          <w:rFonts w:hint="eastAsia" w:ascii="仿宋" w:hAnsi="仿宋" w:eastAsia="仿宋"/>
          <w:sz w:val="32"/>
          <w:szCs w:val="32"/>
        </w:rPr>
      </w:pPr>
      <w:r>
        <w:rPr>
          <w:rFonts w:hint="eastAsia" w:ascii="仿宋" w:hAnsi="仿宋" w:eastAsia="仿宋"/>
          <w:sz w:val="32"/>
          <w:szCs w:val="32"/>
        </w:rPr>
        <w:t xml:space="preserve"> </w:t>
      </w:r>
    </w:p>
    <w:p w14:paraId="1EC56BB8">
      <w:pPr>
        <w:adjustRightInd w:val="0"/>
        <w:snapToGrid w:val="0"/>
        <w:spacing w:line="580" w:lineRule="exact"/>
        <w:ind w:firstLine="643" w:firstLineChars="200"/>
        <w:rPr>
          <w:rFonts w:hint="eastAsia" w:ascii="仿宋" w:hAnsi="仿宋" w:eastAsia="仿宋"/>
          <w:b/>
          <w:bCs/>
          <w:sz w:val="32"/>
          <w:szCs w:val="32"/>
        </w:rPr>
      </w:pPr>
      <w:r>
        <w:rPr>
          <w:rFonts w:hint="eastAsia" w:ascii="仿宋" w:hAnsi="仿宋" w:eastAsia="仿宋"/>
          <w:b/>
          <w:bCs/>
          <w:sz w:val="32"/>
          <w:szCs w:val="32"/>
        </w:rPr>
        <w:t>一、收入支出预算总体情况说明</w:t>
      </w:r>
    </w:p>
    <w:p w14:paraId="7111B64A">
      <w:pPr>
        <w:adjustRightInd w:val="0"/>
        <w:snapToGrid w:val="0"/>
        <w:spacing w:line="580" w:lineRule="exact"/>
        <w:ind w:firstLine="640" w:firstLineChars="200"/>
        <w:rPr>
          <w:rFonts w:hint="eastAsia" w:ascii="仿宋" w:hAnsi="仿宋" w:eastAsia="仿宋"/>
          <w:sz w:val="32"/>
          <w:szCs w:val="32"/>
        </w:rPr>
      </w:pPr>
      <w:r>
        <w:rPr>
          <w:rFonts w:hint="eastAsia" w:ascii="仿宋" w:hAnsi="仿宋" w:eastAsia="仿宋"/>
          <w:sz w:val="32"/>
          <w:szCs w:val="32"/>
        </w:rPr>
        <w:t>焦作市马村区人民法院</w:t>
      </w:r>
      <w:r>
        <w:rPr>
          <w:rFonts w:hint="eastAsia" w:ascii="仿宋" w:hAnsi="仿宋" w:eastAsia="仿宋"/>
          <w:sz w:val="32"/>
          <w:szCs w:val="32"/>
          <w:lang w:eastAsia="zh-CN"/>
        </w:rPr>
        <w:t>2026</w:t>
      </w:r>
      <w:r>
        <w:rPr>
          <w:rFonts w:hint="eastAsia" w:ascii="仿宋" w:hAnsi="仿宋" w:eastAsia="仿宋"/>
          <w:sz w:val="32"/>
          <w:szCs w:val="32"/>
        </w:rPr>
        <w:t>年收入总计</w:t>
      </w:r>
      <w:r>
        <w:rPr>
          <w:rFonts w:hint="eastAsia" w:ascii="仿宋" w:hAnsi="仿宋" w:eastAsia="仿宋"/>
          <w:sz w:val="32"/>
          <w:szCs w:val="32"/>
          <w:lang w:val="en-US" w:eastAsia="zh-CN"/>
        </w:rPr>
        <w:t>1511.2</w:t>
      </w:r>
      <w:r>
        <w:rPr>
          <w:rFonts w:hint="eastAsia" w:ascii="仿宋" w:hAnsi="仿宋" w:eastAsia="仿宋"/>
          <w:sz w:val="32"/>
          <w:szCs w:val="32"/>
        </w:rPr>
        <w:t>万元，支出总计</w:t>
      </w:r>
      <w:r>
        <w:rPr>
          <w:rFonts w:hint="eastAsia" w:ascii="仿宋" w:hAnsi="仿宋" w:eastAsia="仿宋"/>
          <w:sz w:val="32"/>
          <w:szCs w:val="32"/>
          <w:lang w:val="en-US" w:eastAsia="zh-CN"/>
        </w:rPr>
        <w:t>1511.2</w:t>
      </w:r>
      <w:r>
        <w:rPr>
          <w:rFonts w:hint="eastAsia" w:ascii="仿宋" w:hAnsi="仿宋" w:eastAsia="仿宋"/>
          <w:sz w:val="32"/>
          <w:szCs w:val="32"/>
        </w:rPr>
        <w:t>万元，与</w:t>
      </w:r>
      <w:r>
        <w:rPr>
          <w:rFonts w:hint="eastAsia" w:ascii="仿宋" w:hAnsi="仿宋" w:eastAsia="仿宋"/>
          <w:sz w:val="32"/>
          <w:szCs w:val="32"/>
          <w:lang w:eastAsia="zh-CN"/>
        </w:rPr>
        <w:t>2025</w:t>
      </w:r>
      <w:r>
        <w:rPr>
          <w:rFonts w:hint="eastAsia" w:ascii="仿宋" w:hAnsi="仿宋" w:eastAsia="仿宋"/>
          <w:sz w:val="32"/>
          <w:szCs w:val="32"/>
        </w:rPr>
        <w:t>年预算相比，收入</w:t>
      </w:r>
      <w:r>
        <w:rPr>
          <w:rFonts w:hint="eastAsia" w:ascii="仿宋" w:hAnsi="仿宋" w:eastAsia="仿宋"/>
          <w:sz w:val="32"/>
          <w:szCs w:val="32"/>
          <w:lang w:val="en-US" w:eastAsia="zh-CN"/>
        </w:rPr>
        <w:t>增加62.1</w:t>
      </w:r>
      <w:r>
        <w:rPr>
          <w:rFonts w:hint="eastAsia" w:ascii="仿宋" w:hAnsi="仿宋" w:eastAsia="仿宋"/>
          <w:sz w:val="32"/>
          <w:szCs w:val="32"/>
        </w:rPr>
        <w:t>万元，</w:t>
      </w:r>
      <w:r>
        <w:rPr>
          <w:rFonts w:hint="eastAsia" w:ascii="仿宋" w:hAnsi="仿宋" w:eastAsia="仿宋"/>
          <w:sz w:val="32"/>
          <w:szCs w:val="32"/>
          <w:lang w:val="en-US" w:eastAsia="zh-CN"/>
        </w:rPr>
        <w:t>上升4.29</w:t>
      </w:r>
      <w:r>
        <w:rPr>
          <w:rFonts w:hint="eastAsia" w:ascii="仿宋" w:hAnsi="仿宋" w:eastAsia="仿宋"/>
          <w:sz w:val="32"/>
          <w:szCs w:val="32"/>
        </w:rPr>
        <w:t>%。主</w:t>
      </w:r>
      <w:r>
        <w:rPr>
          <w:rFonts w:hint="eastAsia" w:ascii="仿宋" w:hAnsi="仿宋" w:eastAsia="仿宋"/>
          <w:sz w:val="32"/>
          <w:szCs w:val="32"/>
          <w:lang w:eastAsia="zh-CN"/>
        </w:rPr>
        <w:t>要原因：</w:t>
      </w:r>
      <w:r>
        <w:rPr>
          <w:rFonts w:hint="eastAsia" w:ascii="仿宋" w:hAnsi="仿宋" w:eastAsia="仿宋"/>
          <w:sz w:val="32"/>
          <w:szCs w:val="32"/>
          <w:lang w:val="en-US" w:eastAsia="zh-CN"/>
        </w:rPr>
        <w:t>上年结转、人员经费增加</w:t>
      </w:r>
      <w:r>
        <w:rPr>
          <w:rFonts w:hint="eastAsia" w:ascii="仿宋" w:hAnsi="仿宋" w:eastAsia="仿宋"/>
          <w:sz w:val="32"/>
          <w:szCs w:val="32"/>
          <w:lang w:eastAsia="zh-CN"/>
        </w:rPr>
        <w:t>;</w:t>
      </w:r>
      <w:r>
        <w:rPr>
          <w:rFonts w:hint="eastAsia" w:ascii="仿宋" w:hAnsi="仿宋" w:eastAsia="仿宋"/>
          <w:sz w:val="32"/>
          <w:szCs w:val="32"/>
        </w:rPr>
        <w:t>支出</w:t>
      </w:r>
      <w:r>
        <w:rPr>
          <w:rFonts w:hint="eastAsia" w:ascii="仿宋" w:hAnsi="仿宋" w:eastAsia="仿宋"/>
          <w:sz w:val="32"/>
          <w:szCs w:val="32"/>
          <w:lang w:val="en-US" w:eastAsia="zh-CN"/>
        </w:rPr>
        <w:t>增加62.1</w:t>
      </w:r>
      <w:r>
        <w:rPr>
          <w:rFonts w:hint="eastAsia" w:ascii="仿宋" w:hAnsi="仿宋" w:eastAsia="仿宋"/>
          <w:sz w:val="32"/>
          <w:szCs w:val="32"/>
        </w:rPr>
        <w:t>万元，</w:t>
      </w:r>
      <w:r>
        <w:rPr>
          <w:rFonts w:hint="eastAsia" w:ascii="仿宋" w:hAnsi="仿宋" w:eastAsia="仿宋"/>
          <w:sz w:val="32"/>
          <w:szCs w:val="32"/>
          <w:lang w:val="en-US" w:eastAsia="zh-CN"/>
        </w:rPr>
        <w:t>上升4.29</w:t>
      </w:r>
      <w:r>
        <w:rPr>
          <w:rFonts w:hint="eastAsia" w:ascii="仿宋" w:hAnsi="仿宋" w:eastAsia="仿宋"/>
          <w:sz w:val="32"/>
          <w:szCs w:val="32"/>
        </w:rPr>
        <w:t>%。主要原因：</w:t>
      </w:r>
      <w:r>
        <w:rPr>
          <w:rFonts w:hint="eastAsia" w:ascii="仿宋" w:hAnsi="仿宋" w:eastAsia="仿宋"/>
          <w:sz w:val="32"/>
          <w:szCs w:val="32"/>
          <w:lang w:val="en-US" w:eastAsia="zh-CN"/>
        </w:rPr>
        <w:t>上年结转、人员经费增加</w:t>
      </w:r>
      <w:r>
        <w:rPr>
          <w:rFonts w:hint="eastAsia" w:ascii="仿宋" w:hAnsi="仿宋" w:eastAsia="仿宋"/>
          <w:sz w:val="32"/>
          <w:szCs w:val="32"/>
        </w:rPr>
        <w:t>。</w:t>
      </w:r>
    </w:p>
    <w:p w14:paraId="38937790">
      <w:pPr>
        <w:adjustRightInd w:val="0"/>
        <w:snapToGrid w:val="0"/>
        <w:spacing w:line="580" w:lineRule="exact"/>
        <w:ind w:firstLine="643" w:firstLineChars="200"/>
        <w:rPr>
          <w:rFonts w:hint="eastAsia" w:ascii="仿宋" w:hAnsi="仿宋" w:eastAsia="仿宋"/>
          <w:b/>
          <w:bCs/>
          <w:sz w:val="32"/>
          <w:szCs w:val="32"/>
        </w:rPr>
      </w:pPr>
      <w:r>
        <w:rPr>
          <w:rFonts w:hint="eastAsia" w:ascii="仿宋" w:hAnsi="仿宋" w:eastAsia="仿宋"/>
          <w:b/>
          <w:bCs/>
          <w:sz w:val="32"/>
          <w:szCs w:val="32"/>
        </w:rPr>
        <w:t>二、收入预算总体情况说明</w:t>
      </w:r>
    </w:p>
    <w:p w14:paraId="024A1738">
      <w:pPr>
        <w:adjustRightInd w:val="0"/>
        <w:snapToGrid w:val="0"/>
        <w:spacing w:line="580" w:lineRule="exact"/>
        <w:ind w:firstLine="640" w:firstLineChars="200"/>
        <w:rPr>
          <w:rFonts w:hint="eastAsia" w:ascii="仿宋" w:hAnsi="仿宋" w:eastAsia="仿宋"/>
          <w:sz w:val="32"/>
          <w:szCs w:val="32"/>
        </w:rPr>
      </w:pPr>
      <w:r>
        <w:rPr>
          <w:rFonts w:hint="eastAsia" w:ascii="仿宋" w:hAnsi="仿宋" w:eastAsia="仿宋"/>
          <w:sz w:val="32"/>
          <w:szCs w:val="32"/>
        </w:rPr>
        <w:t>焦作市马村区人民法院</w:t>
      </w:r>
      <w:r>
        <w:rPr>
          <w:rFonts w:hint="eastAsia" w:ascii="仿宋" w:hAnsi="仿宋" w:eastAsia="仿宋"/>
          <w:sz w:val="32"/>
          <w:szCs w:val="32"/>
          <w:lang w:eastAsia="zh-CN"/>
        </w:rPr>
        <w:t>2026</w:t>
      </w:r>
      <w:r>
        <w:rPr>
          <w:rFonts w:hint="eastAsia" w:ascii="仿宋" w:hAnsi="仿宋" w:eastAsia="仿宋"/>
          <w:sz w:val="32"/>
          <w:szCs w:val="32"/>
        </w:rPr>
        <w:t>年收入合计</w:t>
      </w:r>
      <w:r>
        <w:rPr>
          <w:rFonts w:hint="eastAsia" w:ascii="仿宋" w:hAnsi="仿宋" w:eastAsia="仿宋"/>
          <w:sz w:val="32"/>
          <w:szCs w:val="32"/>
          <w:lang w:val="en-US" w:eastAsia="zh-CN"/>
        </w:rPr>
        <w:t>1511.2</w:t>
      </w:r>
      <w:r>
        <w:rPr>
          <w:rFonts w:hint="eastAsia" w:ascii="仿宋" w:hAnsi="仿宋" w:eastAsia="仿宋"/>
          <w:sz w:val="32"/>
          <w:szCs w:val="32"/>
        </w:rPr>
        <w:t>万元，其中：一般公共预算</w:t>
      </w:r>
      <w:r>
        <w:rPr>
          <w:rFonts w:hint="eastAsia" w:ascii="仿宋" w:hAnsi="仿宋" w:eastAsia="仿宋"/>
          <w:sz w:val="32"/>
          <w:szCs w:val="32"/>
          <w:lang w:val="en-US" w:eastAsia="zh-CN"/>
        </w:rPr>
        <w:t>1481.2</w:t>
      </w:r>
      <w:r>
        <w:rPr>
          <w:rFonts w:hint="eastAsia" w:ascii="仿宋" w:hAnsi="仿宋" w:eastAsia="仿宋"/>
          <w:sz w:val="32"/>
          <w:szCs w:val="32"/>
        </w:rPr>
        <w:t>万元；</w:t>
      </w:r>
      <w:r>
        <w:rPr>
          <w:rFonts w:hint="eastAsia" w:ascii="仿宋" w:hAnsi="仿宋" w:eastAsia="仿宋"/>
          <w:sz w:val="32"/>
          <w:szCs w:val="32"/>
          <w:lang w:val="en-US" w:eastAsia="zh-CN"/>
        </w:rPr>
        <w:t>上年结转结余30万元</w:t>
      </w:r>
      <w:r>
        <w:rPr>
          <w:rFonts w:hint="eastAsia" w:ascii="仿宋" w:hAnsi="仿宋" w:eastAsia="仿宋"/>
          <w:sz w:val="32"/>
          <w:szCs w:val="32"/>
        </w:rPr>
        <w:t>。</w:t>
      </w:r>
    </w:p>
    <w:p w14:paraId="4E27D756">
      <w:pPr>
        <w:adjustRightInd w:val="0"/>
        <w:snapToGrid w:val="0"/>
        <w:spacing w:line="580" w:lineRule="exact"/>
        <w:ind w:firstLine="643" w:firstLineChars="200"/>
        <w:rPr>
          <w:rFonts w:hint="eastAsia" w:ascii="仿宋" w:hAnsi="仿宋" w:eastAsia="仿宋"/>
          <w:b/>
          <w:bCs/>
          <w:sz w:val="32"/>
          <w:szCs w:val="32"/>
        </w:rPr>
      </w:pPr>
      <w:r>
        <w:rPr>
          <w:rFonts w:hint="eastAsia" w:ascii="仿宋" w:hAnsi="仿宋" w:eastAsia="仿宋"/>
          <w:b/>
          <w:bCs/>
          <w:sz w:val="32"/>
          <w:szCs w:val="32"/>
        </w:rPr>
        <w:t>三、支出预算总体情况说明</w:t>
      </w:r>
    </w:p>
    <w:p w14:paraId="1EF5CF00">
      <w:pPr>
        <w:adjustRightInd w:val="0"/>
        <w:snapToGrid w:val="0"/>
        <w:spacing w:line="580" w:lineRule="exact"/>
        <w:ind w:firstLine="640" w:firstLineChars="200"/>
        <w:rPr>
          <w:rFonts w:hint="eastAsia" w:ascii="仿宋" w:hAnsi="仿宋" w:eastAsia="仿宋"/>
          <w:sz w:val="32"/>
          <w:szCs w:val="32"/>
        </w:rPr>
      </w:pPr>
      <w:r>
        <w:rPr>
          <w:rFonts w:hint="eastAsia" w:ascii="仿宋" w:hAnsi="仿宋" w:eastAsia="仿宋"/>
          <w:sz w:val="32"/>
          <w:szCs w:val="32"/>
        </w:rPr>
        <w:t>焦作市马村区人民法院</w:t>
      </w:r>
      <w:r>
        <w:rPr>
          <w:rFonts w:hint="eastAsia" w:ascii="仿宋" w:hAnsi="仿宋" w:eastAsia="仿宋"/>
          <w:sz w:val="32"/>
          <w:szCs w:val="32"/>
          <w:lang w:eastAsia="zh-CN"/>
        </w:rPr>
        <w:t>2026</w:t>
      </w:r>
      <w:r>
        <w:rPr>
          <w:rFonts w:hint="eastAsia" w:ascii="仿宋" w:hAnsi="仿宋" w:eastAsia="仿宋"/>
          <w:sz w:val="32"/>
          <w:szCs w:val="32"/>
        </w:rPr>
        <w:t>年支出合计</w:t>
      </w:r>
      <w:r>
        <w:rPr>
          <w:rFonts w:hint="eastAsia" w:ascii="仿宋" w:hAnsi="仿宋" w:eastAsia="仿宋"/>
          <w:sz w:val="32"/>
          <w:szCs w:val="32"/>
          <w:lang w:val="en-US" w:eastAsia="zh-CN"/>
        </w:rPr>
        <w:t>1511.2</w:t>
      </w:r>
      <w:r>
        <w:rPr>
          <w:rFonts w:hint="eastAsia" w:ascii="仿宋" w:hAnsi="仿宋" w:eastAsia="仿宋"/>
          <w:sz w:val="32"/>
          <w:szCs w:val="32"/>
        </w:rPr>
        <w:t>万元，其中：基本支出</w:t>
      </w:r>
      <w:r>
        <w:rPr>
          <w:rFonts w:hint="eastAsia" w:ascii="仿宋" w:hAnsi="仿宋" w:eastAsia="仿宋"/>
          <w:sz w:val="32"/>
          <w:szCs w:val="32"/>
          <w:lang w:val="en-US" w:eastAsia="zh-CN"/>
        </w:rPr>
        <w:t>1049.2</w:t>
      </w:r>
      <w:r>
        <w:rPr>
          <w:rFonts w:hint="eastAsia" w:ascii="仿宋" w:hAnsi="仿宋" w:eastAsia="仿宋"/>
          <w:sz w:val="32"/>
          <w:szCs w:val="32"/>
        </w:rPr>
        <w:t>万元，占</w:t>
      </w:r>
      <w:r>
        <w:rPr>
          <w:rFonts w:hint="eastAsia" w:ascii="仿宋" w:hAnsi="仿宋" w:eastAsia="仿宋"/>
          <w:sz w:val="32"/>
          <w:szCs w:val="32"/>
          <w:lang w:val="en-US" w:eastAsia="zh-CN"/>
        </w:rPr>
        <w:t>69.43</w:t>
      </w:r>
      <w:r>
        <w:rPr>
          <w:rFonts w:hint="eastAsia" w:ascii="仿宋" w:hAnsi="仿宋" w:eastAsia="仿宋"/>
          <w:sz w:val="32"/>
          <w:szCs w:val="32"/>
        </w:rPr>
        <w:t>%；项目支出</w:t>
      </w:r>
      <w:r>
        <w:rPr>
          <w:rFonts w:hint="eastAsia" w:ascii="仿宋" w:hAnsi="仿宋" w:eastAsia="仿宋"/>
          <w:sz w:val="32"/>
          <w:szCs w:val="32"/>
          <w:lang w:val="en-US" w:eastAsia="zh-CN"/>
        </w:rPr>
        <w:t>462</w:t>
      </w:r>
      <w:r>
        <w:rPr>
          <w:rFonts w:hint="eastAsia" w:ascii="仿宋" w:hAnsi="仿宋" w:eastAsia="仿宋"/>
          <w:sz w:val="32"/>
          <w:szCs w:val="32"/>
        </w:rPr>
        <w:t>万元，占</w:t>
      </w:r>
      <w:r>
        <w:rPr>
          <w:rFonts w:hint="eastAsia" w:ascii="仿宋" w:hAnsi="仿宋" w:eastAsia="仿宋"/>
          <w:sz w:val="32"/>
          <w:szCs w:val="32"/>
          <w:lang w:val="en-US" w:eastAsia="zh-CN"/>
        </w:rPr>
        <w:t>30.57</w:t>
      </w:r>
      <w:r>
        <w:rPr>
          <w:rFonts w:hint="eastAsia" w:ascii="仿宋" w:hAnsi="仿宋" w:eastAsia="仿宋"/>
          <w:sz w:val="32"/>
          <w:szCs w:val="32"/>
        </w:rPr>
        <w:t>%。</w:t>
      </w:r>
    </w:p>
    <w:p w14:paraId="2A1E188D">
      <w:pPr>
        <w:adjustRightInd w:val="0"/>
        <w:snapToGrid w:val="0"/>
        <w:spacing w:line="580" w:lineRule="exact"/>
        <w:ind w:firstLine="643" w:firstLineChars="200"/>
        <w:rPr>
          <w:rFonts w:hint="eastAsia" w:ascii="仿宋" w:hAnsi="仿宋" w:eastAsia="仿宋"/>
          <w:b/>
          <w:bCs/>
          <w:sz w:val="32"/>
          <w:szCs w:val="32"/>
        </w:rPr>
      </w:pPr>
      <w:r>
        <w:rPr>
          <w:rFonts w:hint="eastAsia" w:ascii="仿宋" w:hAnsi="仿宋" w:eastAsia="仿宋"/>
          <w:b/>
          <w:bCs/>
          <w:sz w:val="32"/>
          <w:szCs w:val="32"/>
        </w:rPr>
        <w:t>四、财政拨款收入支出总体情况说明</w:t>
      </w:r>
    </w:p>
    <w:p w14:paraId="2C034C16">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焦作市马村区人民法院</w:t>
      </w:r>
      <w:r>
        <w:rPr>
          <w:rFonts w:hint="eastAsia" w:ascii="仿宋" w:hAnsi="仿宋" w:eastAsia="仿宋"/>
          <w:sz w:val="32"/>
          <w:szCs w:val="32"/>
          <w:lang w:eastAsia="zh-CN"/>
        </w:rPr>
        <w:t>2026</w:t>
      </w:r>
      <w:r>
        <w:rPr>
          <w:rFonts w:hint="eastAsia" w:ascii="仿宋" w:hAnsi="仿宋" w:eastAsia="仿宋"/>
          <w:sz w:val="32"/>
          <w:szCs w:val="32"/>
        </w:rPr>
        <w:t>年一般公共预算收支预算</w:t>
      </w:r>
      <w:r>
        <w:rPr>
          <w:rFonts w:hint="eastAsia" w:ascii="仿宋" w:hAnsi="仿宋" w:eastAsia="仿宋"/>
          <w:sz w:val="32"/>
          <w:szCs w:val="32"/>
          <w:lang w:val="en-US" w:eastAsia="zh-CN"/>
        </w:rPr>
        <w:t>1481.2</w:t>
      </w:r>
      <w:r>
        <w:rPr>
          <w:rFonts w:hint="eastAsia" w:ascii="仿宋" w:hAnsi="仿宋" w:eastAsia="仿宋"/>
          <w:sz w:val="32"/>
          <w:szCs w:val="32"/>
        </w:rPr>
        <w:t xml:space="preserve">万元，与 </w:t>
      </w:r>
      <w:r>
        <w:rPr>
          <w:rFonts w:hint="eastAsia" w:ascii="仿宋" w:hAnsi="仿宋" w:eastAsia="仿宋"/>
          <w:sz w:val="32"/>
          <w:szCs w:val="32"/>
          <w:lang w:eastAsia="zh-CN"/>
        </w:rPr>
        <w:t>2025</w:t>
      </w:r>
      <w:r>
        <w:rPr>
          <w:rFonts w:hint="eastAsia" w:ascii="仿宋" w:hAnsi="仿宋" w:eastAsia="仿宋"/>
          <w:sz w:val="32"/>
          <w:szCs w:val="32"/>
        </w:rPr>
        <w:t>年相比，一般公共预算收支预算</w:t>
      </w:r>
      <w:r>
        <w:rPr>
          <w:rFonts w:hint="eastAsia" w:ascii="仿宋" w:hAnsi="仿宋" w:eastAsia="仿宋"/>
          <w:sz w:val="32"/>
          <w:szCs w:val="32"/>
          <w:lang w:val="en-US" w:eastAsia="zh-CN"/>
        </w:rPr>
        <w:t>增加36.6</w:t>
      </w:r>
      <w:r>
        <w:rPr>
          <w:rFonts w:hint="eastAsia" w:ascii="仿宋" w:hAnsi="仿宋" w:eastAsia="仿宋"/>
          <w:sz w:val="32"/>
          <w:szCs w:val="32"/>
        </w:rPr>
        <w:t>万元，</w:t>
      </w:r>
      <w:r>
        <w:rPr>
          <w:rFonts w:hint="eastAsia" w:ascii="仿宋" w:hAnsi="仿宋" w:eastAsia="仿宋"/>
          <w:sz w:val="32"/>
          <w:szCs w:val="32"/>
          <w:lang w:val="en-US" w:eastAsia="zh-CN"/>
        </w:rPr>
        <w:t>上升2.53</w:t>
      </w:r>
      <w:r>
        <w:rPr>
          <w:rFonts w:hint="eastAsia" w:ascii="仿宋" w:hAnsi="仿宋" w:eastAsia="仿宋"/>
          <w:sz w:val="32"/>
          <w:szCs w:val="32"/>
        </w:rPr>
        <w:t>%。主要原因：</w:t>
      </w:r>
      <w:r>
        <w:rPr>
          <w:rFonts w:hint="eastAsia" w:ascii="仿宋" w:hAnsi="仿宋" w:eastAsia="仿宋"/>
          <w:sz w:val="32"/>
          <w:szCs w:val="32"/>
          <w:lang w:eastAsia="zh-CN"/>
        </w:rPr>
        <w:t>2026</w:t>
      </w:r>
      <w:r>
        <w:rPr>
          <w:rFonts w:hint="eastAsia" w:ascii="仿宋" w:hAnsi="仿宋" w:eastAsia="仿宋"/>
          <w:sz w:val="32"/>
          <w:szCs w:val="32"/>
        </w:rPr>
        <w:t>年人员</w:t>
      </w:r>
      <w:r>
        <w:rPr>
          <w:rFonts w:hint="eastAsia" w:ascii="仿宋" w:hAnsi="仿宋" w:eastAsia="仿宋"/>
          <w:sz w:val="32"/>
          <w:szCs w:val="32"/>
          <w:lang w:val="en-US" w:eastAsia="zh-CN"/>
        </w:rPr>
        <w:t>经费调整。</w:t>
      </w:r>
    </w:p>
    <w:p w14:paraId="73434784">
      <w:pPr>
        <w:adjustRightInd w:val="0"/>
        <w:snapToGrid w:val="0"/>
        <w:spacing w:line="580" w:lineRule="exact"/>
        <w:ind w:firstLine="643" w:firstLineChars="200"/>
        <w:rPr>
          <w:rFonts w:hint="eastAsia" w:ascii="仿宋" w:hAnsi="仿宋" w:eastAsia="仿宋"/>
          <w:b/>
          <w:bCs/>
          <w:sz w:val="32"/>
          <w:szCs w:val="32"/>
        </w:rPr>
      </w:pPr>
      <w:r>
        <w:rPr>
          <w:rFonts w:hint="eastAsia" w:ascii="仿宋" w:hAnsi="仿宋" w:eastAsia="仿宋"/>
          <w:b/>
          <w:bCs/>
          <w:sz w:val="32"/>
          <w:szCs w:val="32"/>
        </w:rPr>
        <w:t>五、一般公共预算支出情况说明</w:t>
      </w:r>
    </w:p>
    <w:p w14:paraId="501B0A52">
      <w:pPr>
        <w:adjustRightInd w:val="0"/>
        <w:snapToGrid w:val="0"/>
        <w:spacing w:line="580" w:lineRule="exact"/>
        <w:ind w:firstLine="640" w:firstLineChars="200"/>
        <w:rPr>
          <w:rFonts w:hint="eastAsia" w:ascii="仿宋" w:hAnsi="仿宋" w:eastAsia="仿宋"/>
          <w:sz w:val="32"/>
          <w:szCs w:val="32"/>
        </w:rPr>
      </w:pPr>
      <w:r>
        <w:rPr>
          <w:rFonts w:hint="eastAsia" w:ascii="仿宋" w:hAnsi="仿宋" w:eastAsia="仿宋"/>
          <w:sz w:val="32"/>
          <w:szCs w:val="32"/>
        </w:rPr>
        <w:t>焦作市马村区人民法院</w:t>
      </w:r>
      <w:r>
        <w:rPr>
          <w:rFonts w:hint="eastAsia" w:ascii="仿宋" w:hAnsi="仿宋" w:eastAsia="仿宋"/>
          <w:sz w:val="32"/>
          <w:szCs w:val="32"/>
          <w:lang w:eastAsia="zh-CN"/>
        </w:rPr>
        <w:t>2026</w:t>
      </w:r>
      <w:r>
        <w:rPr>
          <w:rFonts w:hint="eastAsia" w:ascii="仿宋" w:hAnsi="仿宋" w:eastAsia="仿宋"/>
          <w:sz w:val="32"/>
          <w:szCs w:val="32"/>
        </w:rPr>
        <w:t>年一般公共预算支出年初预算为</w:t>
      </w:r>
      <w:r>
        <w:rPr>
          <w:rFonts w:hint="eastAsia" w:ascii="仿宋" w:hAnsi="仿宋" w:eastAsia="仿宋"/>
          <w:sz w:val="32"/>
          <w:szCs w:val="32"/>
          <w:lang w:val="en-US" w:eastAsia="zh-CN"/>
        </w:rPr>
        <w:t>1481.2</w:t>
      </w:r>
      <w:r>
        <w:rPr>
          <w:rFonts w:hint="eastAsia" w:ascii="仿宋" w:hAnsi="仿宋" w:eastAsia="仿宋"/>
          <w:sz w:val="32"/>
          <w:szCs w:val="32"/>
        </w:rPr>
        <w:t>万元。其中：基本支出</w:t>
      </w:r>
      <w:r>
        <w:rPr>
          <w:rFonts w:hint="eastAsia" w:ascii="仿宋" w:hAnsi="仿宋" w:eastAsia="仿宋"/>
          <w:sz w:val="32"/>
          <w:szCs w:val="32"/>
          <w:lang w:val="en-US" w:eastAsia="zh-CN"/>
        </w:rPr>
        <w:t>1049.2</w:t>
      </w:r>
      <w:r>
        <w:rPr>
          <w:rFonts w:hint="eastAsia" w:ascii="仿宋" w:hAnsi="仿宋" w:eastAsia="仿宋"/>
          <w:sz w:val="32"/>
          <w:szCs w:val="32"/>
        </w:rPr>
        <w:t>万元，占</w:t>
      </w:r>
      <w:r>
        <w:rPr>
          <w:rFonts w:hint="eastAsia" w:ascii="仿宋" w:hAnsi="仿宋" w:eastAsia="仿宋"/>
          <w:sz w:val="32"/>
          <w:szCs w:val="32"/>
          <w:lang w:val="en-US" w:eastAsia="zh-CN"/>
        </w:rPr>
        <w:t>70.83</w:t>
      </w:r>
      <w:r>
        <w:rPr>
          <w:rFonts w:hint="eastAsia" w:ascii="仿宋" w:hAnsi="仿宋" w:eastAsia="仿宋"/>
          <w:sz w:val="32"/>
          <w:szCs w:val="32"/>
        </w:rPr>
        <w:t>%；项目支出</w:t>
      </w:r>
      <w:r>
        <w:rPr>
          <w:rFonts w:hint="eastAsia" w:ascii="仿宋" w:hAnsi="仿宋" w:eastAsia="仿宋"/>
          <w:sz w:val="32"/>
          <w:szCs w:val="32"/>
          <w:lang w:val="en-US" w:eastAsia="zh-CN"/>
        </w:rPr>
        <w:t>432</w:t>
      </w:r>
      <w:r>
        <w:rPr>
          <w:rFonts w:hint="eastAsia" w:ascii="仿宋" w:hAnsi="仿宋" w:eastAsia="仿宋"/>
          <w:sz w:val="32"/>
          <w:szCs w:val="32"/>
        </w:rPr>
        <w:t>万元，占</w:t>
      </w:r>
      <w:r>
        <w:rPr>
          <w:rFonts w:hint="eastAsia" w:ascii="仿宋" w:hAnsi="仿宋" w:eastAsia="仿宋"/>
          <w:sz w:val="32"/>
          <w:szCs w:val="32"/>
          <w:lang w:val="en-US" w:eastAsia="zh-CN"/>
        </w:rPr>
        <w:t>29.17</w:t>
      </w:r>
      <w:r>
        <w:rPr>
          <w:rFonts w:hint="eastAsia" w:ascii="仿宋" w:hAnsi="仿宋" w:eastAsia="仿宋"/>
          <w:sz w:val="32"/>
          <w:szCs w:val="32"/>
        </w:rPr>
        <w:t>%。</w:t>
      </w:r>
    </w:p>
    <w:p w14:paraId="01BC8759">
      <w:pPr>
        <w:adjustRightInd w:val="0"/>
        <w:snapToGrid w:val="0"/>
        <w:spacing w:line="580" w:lineRule="exact"/>
        <w:ind w:firstLine="643" w:firstLineChars="200"/>
        <w:rPr>
          <w:rFonts w:hint="eastAsia" w:ascii="仿宋" w:hAnsi="仿宋" w:eastAsia="仿宋"/>
          <w:b/>
          <w:bCs/>
          <w:sz w:val="32"/>
          <w:szCs w:val="32"/>
        </w:rPr>
      </w:pPr>
      <w:r>
        <w:rPr>
          <w:rFonts w:hint="eastAsia" w:ascii="仿宋" w:hAnsi="仿宋" w:eastAsia="仿宋"/>
          <w:b/>
          <w:bCs/>
          <w:sz w:val="32"/>
          <w:szCs w:val="32"/>
        </w:rPr>
        <w:t>六、一般公共预算基本支出情况说明</w:t>
      </w:r>
    </w:p>
    <w:p w14:paraId="20FEF292">
      <w:pPr>
        <w:adjustRightInd w:val="0"/>
        <w:snapToGrid w:val="0"/>
        <w:spacing w:line="580" w:lineRule="exact"/>
        <w:ind w:firstLine="640" w:firstLineChars="200"/>
        <w:rPr>
          <w:rFonts w:hint="eastAsia" w:ascii="仿宋" w:hAnsi="仿宋" w:eastAsia="仿宋"/>
          <w:sz w:val="32"/>
          <w:szCs w:val="32"/>
        </w:rPr>
      </w:pPr>
      <w:r>
        <w:rPr>
          <w:rFonts w:hint="eastAsia" w:ascii="仿宋" w:hAnsi="仿宋" w:eastAsia="仿宋"/>
          <w:sz w:val="32"/>
          <w:szCs w:val="32"/>
        </w:rPr>
        <w:t>焦作市马村区人民法院</w:t>
      </w:r>
      <w:r>
        <w:rPr>
          <w:rFonts w:hint="eastAsia" w:ascii="仿宋" w:hAnsi="仿宋" w:eastAsia="仿宋"/>
          <w:sz w:val="32"/>
          <w:szCs w:val="32"/>
          <w:lang w:eastAsia="zh-CN"/>
        </w:rPr>
        <w:t>2026</w:t>
      </w:r>
      <w:r>
        <w:rPr>
          <w:rFonts w:hint="eastAsia" w:ascii="仿宋" w:hAnsi="仿宋" w:eastAsia="仿宋"/>
          <w:sz w:val="32"/>
          <w:szCs w:val="32"/>
        </w:rPr>
        <w:t>年一般公共预算基本支出年初预算为</w:t>
      </w:r>
      <w:r>
        <w:rPr>
          <w:rFonts w:hint="eastAsia" w:ascii="仿宋" w:hAnsi="仿宋" w:eastAsia="仿宋"/>
          <w:sz w:val="32"/>
          <w:szCs w:val="32"/>
          <w:lang w:val="en-US" w:eastAsia="zh-CN"/>
        </w:rPr>
        <w:t>1049.2</w:t>
      </w:r>
      <w:r>
        <w:rPr>
          <w:rFonts w:hint="eastAsia" w:ascii="仿宋" w:hAnsi="仿宋" w:eastAsia="仿宋"/>
          <w:sz w:val="32"/>
          <w:szCs w:val="32"/>
        </w:rPr>
        <w:t>万元。其中：人员经费支出</w:t>
      </w:r>
      <w:r>
        <w:rPr>
          <w:rFonts w:hint="eastAsia" w:ascii="仿宋" w:hAnsi="仿宋" w:eastAsia="仿宋"/>
          <w:sz w:val="32"/>
          <w:szCs w:val="32"/>
          <w:lang w:val="en-US" w:eastAsia="zh-CN"/>
        </w:rPr>
        <w:t>855.3</w:t>
      </w:r>
      <w:r>
        <w:rPr>
          <w:rFonts w:hint="eastAsia" w:ascii="仿宋" w:hAnsi="仿宋" w:eastAsia="仿宋"/>
          <w:sz w:val="32"/>
          <w:szCs w:val="32"/>
        </w:rPr>
        <w:t>万元，占</w:t>
      </w:r>
      <w:r>
        <w:rPr>
          <w:rFonts w:hint="eastAsia" w:ascii="仿宋" w:hAnsi="仿宋" w:eastAsia="仿宋"/>
          <w:sz w:val="32"/>
          <w:szCs w:val="32"/>
          <w:lang w:val="en-US" w:eastAsia="zh-CN"/>
        </w:rPr>
        <w:t>81.52</w:t>
      </w:r>
      <w:r>
        <w:rPr>
          <w:rFonts w:hint="eastAsia" w:ascii="仿宋" w:hAnsi="仿宋" w:eastAsia="仿宋"/>
          <w:sz w:val="32"/>
          <w:szCs w:val="32"/>
        </w:rPr>
        <w:t>%；公用经费支出</w:t>
      </w:r>
      <w:r>
        <w:rPr>
          <w:rFonts w:hint="eastAsia" w:ascii="仿宋" w:hAnsi="仿宋" w:eastAsia="仿宋"/>
          <w:sz w:val="32"/>
          <w:szCs w:val="32"/>
          <w:lang w:val="en-US" w:eastAsia="zh-CN"/>
        </w:rPr>
        <w:t>193.9</w:t>
      </w:r>
      <w:r>
        <w:rPr>
          <w:rFonts w:hint="eastAsia" w:ascii="仿宋" w:hAnsi="仿宋" w:eastAsia="仿宋"/>
          <w:sz w:val="32"/>
          <w:szCs w:val="32"/>
        </w:rPr>
        <w:t>万元，占</w:t>
      </w:r>
      <w:r>
        <w:rPr>
          <w:rFonts w:hint="eastAsia" w:ascii="仿宋" w:hAnsi="仿宋" w:eastAsia="仿宋"/>
          <w:sz w:val="32"/>
          <w:szCs w:val="32"/>
          <w:lang w:val="en-US" w:eastAsia="zh-CN"/>
        </w:rPr>
        <w:t>18.48</w:t>
      </w:r>
      <w:r>
        <w:rPr>
          <w:rFonts w:hint="eastAsia" w:ascii="仿宋" w:hAnsi="仿宋" w:eastAsia="仿宋"/>
          <w:sz w:val="32"/>
          <w:szCs w:val="32"/>
        </w:rPr>
        <w:t>%。</w:t>
      </w:r>
    </w:p>
    <w:p w14:paraId="75AD3923">
      <w:pPr>
        <w:adjustRightInd w:val="0"/>
        <w:snapToGrid w:val="0"/>
        <w:spacing w:line="580" w:lineRule="exact"/>
        <w:ind w:firstLine="643" w:firstLineChars="200"/>
        <w:rPr>
          <w:rFonts w:hint="eastAsia" w:ascii="仿宋" w:hAnsi="仿宋" w:eastAsia="仿宋"/>
          <w:b/>
          <w:bCs/>
          <w:sz w:val="32"/>
          <w:szCs w:val="32"/>
        </w:rPr>
      </w:pPr>
      <w:r>
        <w:rPr>
          <w:rFonts w:hint="eastAsia" w:ascii="仿宋" w:hAnsi="仿宋" w:eastAsia="仿宋"/>
          <w:b/>
          <w:bCs/>
          <w:kern w:val="0"/>
          <w:sz w:val="32"/>
          <w:szCs w:val="32"/>
        </w:rPr>
        <w:t>七、 “三公”经费支出情况说明</w:t>
      </w:r>
    </w:p>
    <w:p w14:paraId="19A5C493">
      <w:pPr>
        <w:adjustRightInd w:val="0"/>
        <w:snapToGrid w:val="0"/>
        <w:spacing w:line="580" w:lineRule="exact"/>
        <w:ind w:firstLine="640" w:firstLineChars="200"/>
        <w:rPr>
          <w:rFonts w:hint="eastAsia" w:ascii="仿宋" w:hAnsi="仿宋" w:eastAsia="仿宋"/>
          <w:sz w:val="32"/>
          <w:szCs w:val="32"/>
        </w:rPr>
      </w:pPr>
      <w:r>
        <w:rPr>
          <w:rFonts w:hint="eastAsia" w:ascii="仿宋" w:hAnsi="仿宋" w:eastAsia="仿宋"/>
          <w:sz w:val="32"/>
          <w:szCs w:val="32"/>
        </w:rPr>
        <w:t>焦作市马村区人民法院</w:t>
      </w:r>
      <w:r>
        <w:rPr>
          <w:rFonts w:hint="eastAsia" w:ascii="仿宋" w:hAnsi="仿宋" w:eastAsia="仿宋"/>
          <w:sz w:val="32"/>
          <w:szCs w:val="32"/>
          <w:lang w:eastAsia="zh-CN"/>
        </w:rPr>
        <w:t>2026</w:t>
      </w:r>
      <w:r>
        <w:rPr>
          <w:rFonts w:hint="eastAsia" w:ascii="仿宋" w:hAnsi="仿宋" w:eastAsia="仿宋"/>
          <w:sz w:val="32"/>
          <w:szCs w:val="32"/>
        </w:rPr>
        <w:t>年“三公”经费预算为49.5万元。</w:t>
      </w:r>
      <w:r>
        <w:rPr>
          <w:rFonts w:hint="eastAsia" w:ascii="仿宋" w:hAnsi="仿宋" w:eastAsia="仿宋"/>
          <w:sz w:val="32"/>
          <w:szCs w:val="32"/>
          <w:lang w:eastAsia="zh-CN"/>
        </w:rPr>
        <w:t>2026</w:t>
      </w:r>
      <w:r>
        <w:rPr>
          <w:rFonts w:hint="eastAsia" w:ascii="仿宋" w:hAnsi="仿宋" w:eastAsia="仿宋"/>
          <w:sz w:val="32"/>
          <w:szCs w:val="32"/>
        </w:rPr>
        <w:t>年“三公”经费支出预算数同</w:t>
      </w:r>
      <w:r>
        <w:rPr>
          <w:rFonts w:hint="eastAsia" w:ascii="仿宋" w:hAnsi="仿宋" w:eastAsia="仿宋"/>
          <w:sz w:val="32"/>
          <w:szCs w:val="32"/>
          <w:lang w:eastAsia="zh-CN"/>
        </w:rPr>
        <w:t>2025</w:t>
      </w:r>
      <w:r>
        <w:rPr>
          <w:rFonts w:hint="eastAsia" w:ascii="仿宋" w:hAnsi="仿宋" w:eastAsia="仿宋"/>
          <w:sz w:val="32"/>
          <w:szCs w:val="32"/>
        </w:rPr>
        <w:t>年一致。</w:t>
      </w:r>
    </w:p>
    <w:p w14:paraId="61836229">
      <w:pPr>
        <w:kinsoku w:val="0"/>
        <w:overflowPunct w:val="0"/>
        <w:autoSpaceDE w:val="0"/>
        <w:autoSpaceDN w:val="0"/>
        <w:adjustRightInd w:val="0"/>
        <w:snapToGrid w:val="0"/>
        <w:spacing w:line="580" w:lineRule="exact"/>
        <w:ind w:firstLine="640" w:firstLineChars="200"/>
        <w:rPr>
          <w:rFonts w:hint="eastAsia" w:ascii="仿宋" w:hAnsi="仿宋" w:eastAsia="仿宋"/>
          <w:sz w:val="32"/>
          <w:szCs w:val="32"/>
        </w:rPr>
      </w:pPr>
      <w:r>
        <w:rPr>
          <w:rFonts w:hint="eastAsia" w:ascii="仿宋" w:hAnsi="仿宋" w:eastAsia="仿宋"/>
          <w:sz w:val="32"/>
          <w:szCs w:val="32"/>
        </w:rPr>
        <w:t>具体支出情况如下：</w:t>
      </w:r>
    </w:p>
    <w:p w14:paraId="79B1C075">
      <w:pPr>
        <w:kinsoku w:val="0"/>
        <w:overflowPunct w:val="0"/>
        <w:autoSpaceDE w:val="0"/>
        <w:autoSpaceDN w:val="0"/>
        <w:adjustRightInd w:val="0"/>
        <w:snapToGrid w:val="0"/>
        <w:spacing w:line="580" w:lineRule="exact"/>
        <w:ind w:firstLine="639" w:firstLineChars="200"/>
        <w:rPr>
          <w:rFonts w:hint="eastAsia" w:ascii="仿宋" w:hAnsi="仿宋" w:eastAsia="仿宋"/>
          <w:sz w:val="32"/>
          <w:szCs w:val="32"/>
        </w:rPr>
      </w:pPr>
      <w:r>
        <w:rPr>
          <w:rFonts w:hint="eastAsia" w:ascii="仿宋" w:hAnsi="仿宋" w:eastAsia="仿宋"/>
          <w:b/>
          <w:spacing w:val="-1"/>
          <w:kern w:val="0"/>
          <w:sz w:val="32"/>
          <w:szCs w:val="32"/>
        </w:rPr>
        <w:t>（一）因公出国（境）费</w:t>
      </w:r>
      <w:r>
        <w:rPr>
          <w:rFonts w:hint="eastAsia" w:ascii="仿宋" w:hAnsi="仿宋" w:eastAsia="仿宋"/>
          <w:sz w:val="32"/>
          <w:szCs w:val="32"/>
        </w:rPr>
        <w:t>0</w:t>
      </w:r>
      <w:r>
        <w:rPr>
          <w:rFonts w:hint="eastAsia" w:ascii="仿宋" w:hAnsi="仿宋" w:eastAsia="仿宋"/>
          <w:spacing w:val="-1"/>
          <w:kern w:val="0"/>
          <w:sz w:val="32"/>
          <w:szCs w:val="32"/>
        </w:rPr>
        <w:t>万元，</w:t>
      </w:r>
      <w:r>
        <w:rPr>
          <w:rFonts w:hint="eastAsia" w:ascii="仿宋" w:hAnsi="仿宋" w:eastAsia="仿宋"/>
          <w:sz w:val="32"/>
          <w:szCs w:val="32"/>
        </w:rPr>
        <w:t xml:space="preserve">主要用于单位工作人员公务出国（境）的住宿费、旅费、伙食补助费、杂费、培训费等支出。预算数比 </w:t>
      </w:r>
      <w:r>
        <w:rPr>
          <w:rFonts w:hint="eastAsia" w:ascii="仿宋" w:hAnsi="仿宋" w:eastAsia="仿宋"/>
          <w:sz w:val="32"/>
          <w:szCs w:val="32"/>
          <w:lang w:eastAsia="zh-CN"/>
        </w:rPr>
        <w:t>2025</w:t>
      </w:r>
      <w:r>
        <w:rPr>
          <w:rFonts w:hint="eastAsia" w:ascii="仿宋" w:hAnsi="仿宋" w:eastAsia="仿宋"/>
          <w:sz w:val="32"/>
          <w:szCs w:val="32"/>
        </w:rPr>
        <w:t>年增加0万元。</w:t>
      </w:r>
    </w:p>
    <w:p w14:paraId="5F632484">
      <w:pPr>
        <w:kinsoku w:val="0"/>
        <w:overflowPunct w:val="0"/>
        <w:autoSpaceDE w:val="0"/>
        <w:autoSpaceDN w:val="0"/>
        <w:adjustRightInd w:val="0"/>
        <w:snapToGrid w:val="0"/>
        <w:spacing w:line="580" w:lineRule="exact"/>
        <w:ind w:firstLine="639" w:firstLineChars="200"/>
        <w:rPr>
          <w:rFonts w:hint="eastAsia" w:ascii="仿宋" w:hAnsi="仿宋" w:eastAsia="仿宋"/>
          <w:sz w:val="32"/>
          <w:szCs w:val="32"/>
        </w:rPr>
      </w:pPr>
      <w:r>
        <w:rPr>
          <w:rFonts w:hint="eastAsia" w:ascii="仿宋" w:hAnsi="仿宋" w:eastAsia="仿宋"/>
          <w:b/>
          <w:spacing w:val="-1"/>
          <w:kern w:val="0"/>
          <w:sz w:val="32"/>
          <w:szCs w:val="32"/>
        </w:rPr>
        <w:t>（二）公务接待费</w:t>
      </w:r>
      <w:r>
        <w:rPr>
          <w:rFonts w:hint="eastAsia" w:ascii="仿宋" w:hAnsi="仿宋" w:eastAsia="仿宋"/>
          <w:sz w:val="32"/>
          <w:szCs w:val="32"/>
        </w:rPr>
        <w:t xml:space="preserve">0万元，主要用于按规定开支的各类公务接待（含外宾接待）支出。预算数比 </w:t>
      </w:r>
      <w:r>
        <w:rPr>
          <w:rFonts w:hint="eastAsia" w:ascii="仿宋" w:hAnsi="仿宋" w:eastAsia="仿宋"/>
          <w:sz w:val="32"/>
          <w:szCs w:val="32"/>
          <w:lang w:eastAsia="zh-CN"/>
        </w:rPr>
        <w:t>2025</w:t>
      </w:r>
      <w:r>
        <w:rPr>
          <w:rFonts w:hint="eastAsia" w:ascii="仿宋" w:hAnsi="仿宋" w:eastAsia="仿宋"/>
          <w:sz w:val="32"/>
          <w:szCs w:val="32"/>
        </w:rPr>
        <w:t>年增加0万元。</w:t>
      </w:r>
    </w:p>
    <w:p w14:paraId="54BAEC5D">
      <w:pPr>
        <w:kinsoku w:val="0"/>
        <w:overflowPunct w:val="0"/>
        <w:autoSpaceDE w:val="0"/>
        <w:autoSpaceDN w:val="0"/>
        <w:adjustRightInd w:val="0"/>
        <w:snapToGrid w:val="0"/>
        <w:spacing w:line="580" w:lineRule="exact"/>
        <w:ind w:firstLine="639" w:firstLineChars="200"/>
        <w:rPr>
          <w:rFonts w:hint="default" w:ascii="仿宋" w:hAnsi="仿宋" w:eastAsia="仿宋"/>
          <w:sz w:val="32"/>
          <w:szCs w:val="32"/>
          <w:lang w:val="en-US" w:eastAsia="zh-CN"/>
        </w:rPr>
      </w:pPr>
      <w:r>
        <w:rPr>
          <w:rFonts w:hint="eastAsia" w:ascii="仿宋" w:hAnsi="仿宋" w:eastAsia="仿宋"/>
          <w:b/>
          <w:spacing w:val="-1"/>
          <w:kern w:val="0"/>
          <w:sz w:val="32"/>
          <w:szCs w:val="32"/>
        </w:rPr>
        <w:t>（三）公务用车购置及运行费</w:t>
      </w:r>
      <w:r>
        <w:rPr>
          <w:rFonts w:hint="eastAsia" w:ascii="仿宋" w:hAnsi="仿宋" w:eastAsia="仿宋"/>
          <w:sz w:val="32"/>
          <w:szCs w:val="32"/>
        </w:rPr>
        <w:t>49.5</w:t>
      </w:r>
      <w:r>
        <w:rPr>
          <w:rFonts w:hint="eastAsia" w:ascii="仿宋" w:hAnsi="仿宋" w:eastAsia="仿宋"/>
          <w:kern w:val="0"/>
          <w:sz w:val="32"/>
          <w:szCs w:val="32"/>
        </w:rPr>
        <w:t>万</w:t>
      </w:r>
      <w:r>
        <w:rPr>
          <w:rFonts w:hint="eastAsia" w:ascii="仿宋" w:hAnsi="仿宋" w:eastAsia="仿宋"/>
          <w:sz w:val="32"/>
          <w:szCs w:val="32"/>
        </w:rPr>
        <w:t>元，其中，公务用车购置费</w:t>
      </w:r>
      <w:r>
        <w:rPr>
          <w:rFonts w:hint="eastAsia" w:ascii="仿宋" w:hAnsi="仿宋" w:eastAsia="仿宋"/>
          <w:sz w:val="32"/>
          <w:szCs w:val="32"/>
          <w:lang w:val="en-US" w:eastAsia="zh-CN"/>
        </w:rPr>
        <w:t>20</w:t>
      </w:r>
      <w:r>
        <w:rPr>
          <w:rFonts w:hint="eastAsia" w:ascii="仿宋" w:hAnsi="仿宋" w:eastAsia="仿宋"/>
          <w:sz w:val="32"/>
          <w:szCs w:val="32"/>
        </w:rPr>
        <w:t>万元；公务用车运行维护费</w:t>
      </w:r>
      <w:r>
        <w:rPr>
          <w:rFonts w:hint="eastAsia" w:ascii="仿宋" w:hAnsi="仿宋" w:eastAsia="仿宋"/>
          <w:sz w:val="32"/>
          <w:szCs w:val="32"/>
          <w:lang w:val="en-US" w:eastAsia="zh-CN"/>
        </w:rPr>
        <w:t>29.5</w:t>
      </w:r>
      <w:r>
        <w:rPr>
          <w:rFonts w:hint="eastAsia" w:ascii="仿宋" w:hAnsi="仿宋" w:eastAsia="仿宋"/>
          <w:sz w:val="32"/>
          <w:szCs w:val="32"/>
        </w:rPr>
        <w:t>万元，主要用于开展工作所需公务用车的燃料费、维修费、过路过桥费、保险费、安全奖励费用等支出。公务用车购置费预算数比</w:t>
      </w:r>
      <w:r>
        <w:rPr>
          <w:rFonts w:hint="eastAsia" w:ascii="仿宋" w:hAnsi="仿宋" w:eastAsia="仿宋"/>
          <w:sz w:val="32"/>
          <w:szCs w:val="32"/>
          <w:lang w:eastAsia="zh-CN"/>
        </w:rPr>
        <w:t>2025</w:t>
      </w:r>
      <w:r>
        <w:rPr>
          <w:rFonts w:hint="eastAsia" w:ascii="仿宋" w:hAnsi="仿宋" w:eastAsia="仿宋"/>
          <w:sz w:val="32"/>
          <w:szCs w:val="32"/>
        </w:rPr>
        <w:t>年</w:t>
      </w:r>
      <w:r>
        <w:rPr>
          <w:rFonts w:hint="eastAsia" w:ascii="仿宋" w:hAnsi="仿宋" w:eastAsia="仿宋"/>
          <w:sz w:val="32"/>
          <w:szCs w:val="32"/>
          <w:lang w:val="en-US" w:eastAsia="zh-CN"/>
        </w:rPr>
        <w:t>增加20</w:t>
      </w:r>
      <w:r>
        <w:rPr>
          <w:rFonts w:hint="eastAsia" w:ascii="仿宋" w:hAnsi="仿宋" w:eastAsia="仿宋"/>
          <w:sz w:val="32"/>
          <w:szCs w:val="32"/>
        </w:rPr>
        <w:t>万元</w:t>
      </w:r>
      <w:r>
        <w:rPr>
          <w:rFonts w:hint="eastAsia" w:ascii="仿宋" w:hAnsi="仿宋" w:eastAsia="仿宋"/>
          <w:sz w:val="32"/>
          <w:szCs w:val="32"/>
          <w:lang w:eastAsia="zh-CN"/>
        </w:rPr>
        <w:t>，</w:t>
      </w:r>
      <w:r>
        <w:rPr>
          <w:rFonts w:hint="eastAsia" w:ascii="仿宋" w:hAnsi="仿宋" w:eastAsia="仿宋"/>
          <w:sz w:val="32"/>
          <w:szCs w:val="32"/>
          <w:lang w:val="en-US" w:eastAsia="zh-CN"/>
        </w:rPr>
        <w:t>主要原因：2026年我单位预购置一辆公务用车</w:t>
      </w:r>
      <w:r>
        <w:rPr>
          <w:rFonts w:hint="eastAsia" w:ascii="仿宋" w:hAnsi="仿宋" w:eastAsia="仿宋"/>
          <w:sz w:val="32"/>
          <w:szCs w:val="32"/>
        </w:rPr>
        <w:t>。公务用车运行维护费预算数比</w:t>
      </w:r>
      <w:r>
        <w:rPr>
          <w:rFonts w:hint="eastAsia" w:ascii="仿宋" w:hAnsi="仿宋" w:eastAsia="仿宋"/>
          <w:sz w:val="32"/>
          <w:szCs w:val="32"/>
          <w:lang w:eastAsia="zh-CN"/>
        </w:rPr>
        <w:t>2025</w:t>
      </w:r>
      <w:r>
        <w:rPr>
          <w:rFonts w:hint="eastAsia" w:ascii="仿宋" w:hAnsi="仿宋" w:eastAsia="仿宋"/>
          <w:sz w:val="32"/>
          <w:szCs w:val="32"/>
        </w:rPr>
        <w:t>年</w:t>
      </w:r>
      <w:r>
        <w:rPr>
          <w:rFonts w:hint="eastAsia" w:ascii="仿宋" w:hAnsi="仿宋" w:eastAsia="仿宋"/>
          <w:sz w:val="32"/>
          <w:szCs w:val="32"/>
          <w:lang w:val="en-US" w:eastAsia="zh-CN"/>
        </w:rPr>
        <w:t>减少20</w:t>
      </w:r>
      <w:r>
        <w:rPr>
          <w:rFonts w:hint="eastAsia" w:ascii="仿宋" w:hAnsi="仿宋" w:eastAsia="仿宋"/>
          <w:sz w:val="32"/>
          <w:szCs w:val="32"/>
        </w:rPr>
        <w:t>万元</w:t>
      </w:r>
      <w:r>
        <w:rPr>
          <w:rFonts w:hint="eastAsia" w:ascii="仿宋" w:hAnsi="仿宋" w:eastAsia="仿宋"/>
          <w:sz w:val="32"/>
          <w:szCs w:val="32"/>
          <w:lang w:eastAsia="zh-CN"/>
        </w:rPr>
        <w:t>，</w:t>
      </w:r>
      <w:r>
        <w:rPr>
          <w:rFonts w:hint="eastAsia" w:ascii="仿宋" w:hAnsi="仿宋" w:eastAsia="仿宋"/>
          <w:sz w:val="32"/>
          <w:szCs w:val="32"/>
          <w:lang w:val="en-US" w:eastAsia="zh-CN"/>
        </w:rPr>
        <w:t>主要原因：2026年将公务用车购置及运行费细化，安排购车预算。</w:t>
      </w:r>
    </w:p>
    <w:p w14:paraId="2FB52229">
      <w:pPr>
        <w:adjustRightInd w:val="0"/>
        <w:snapToGrid w:val="0"/>
        <w:spacing w:line="580" w:lineRule="exact"/>
        <w:ind w:firstLine="643" w:firstLineChars="200"/>
        <w:rPr>
          <w:rFonts w:hint="eastAsia" w:ascii="仿宋" w:hAnsi="仿宋" w:eastAsia="仿宋"/>
          <w:b/>
          <w:bCs/>
          <w:sz w:val="32"/>
          <w:szCs w:val="32"/>
        </w:rPr>
      </w:pPr>
      <w:r>
        <w:rPr>
          <w:rFonts w:hint="eastAsia" w:ascii="仿宋" w:hAnsi="仿宋" w:eastAsia="仿宋"/>
          <w:b/>
          <w:bCs/>
          <w:kern w:val="0"/>
          <w:sz w:val="32"/>
          <w:szCs w:val="32"/>
        </w:rPr>
        <w:t>八、政府性基金预算支出情况说明</w:t>
      </w:r>
    </w:p>
    <w:p w14:paraId="678E254A">
      <w:pPr>
        <w:adjustRightInd w:val="0"/>
        <w:snapToGrid w:val="0"/>
        <w:spacing w:line="580" w:lineRule="exact"/>
        <w:ind w:firstLine="640" w:firstLineChars="200"/>
        <w:rPr>
          <w:rFonts w:hint="eastAsia" w:ascii="仿宋" w:hAnsi="仿宋" w:eastAsia="仿宋"/>
          <w:sz w:val="32"/>
          <w:szCs w:val="32"/>
        </w:rPr>
      </w:pPr>
      <w:r>
        <w:rPr>
          <w:rFonts w:hint="eastAsia" w:ascii="仿宋" w:hAnsi="仿宋" w:eastAsia="仿宋"/>
          <w:sz w:val="32"/>
          <w:szCs w:val="32"/>
        </w:rPr>
        <w:t>焦作市马村区人民法院</w:t>
      </w:r>
      <w:r>
        <w:rPr>
          <w:rFonts w:hint="eastAsia" w:ascii="仿宋" w:hAnsi="仿宋" w:eastAsia="仿宋"/>
          <w:sz w:val="32"/>
          <w:szCs w:val="32"/>
          <w:lang w:eastAsia="zh-CN"/>
        </w:rPr>
        <w:t>2026</w:t>
      </w:r>
      <w:r>
        <w:rPr>
          <w:rFonts w:hint="eastAsia" w:ascii="仿宋" w:hAnsi="仿宋" w:eastAsia="仿宋"/>
          <w:sz w:val="32"/>
          <w:szCs w:val="32"/>
        </w:rPr>
        <w:t>年无使用政府性基金预算拨款安排的支出。</w:t>
      </w:r>
    </w:p>
    <w:p w14:paraId="44867ACA">
      <w:pPr>
        <w:kinsoku w:val="0"/>
        <w:overflowPunct w:val="0"/>
        <w:autoSpaceDE w:val="0"/>
        <w:autoSpaceDN w:val="0"/>
        <w:adjustRightInd w:val="0"/>
        <w:snapToGrid w:val="0"/>
        <w:spacing w:line="580" w:lineRule="exact"/>
        <w:ind w:firstLine="639" w:firstLineChars="200"/>
        <w:rPr>
          <w:rFonts w:hint="eastAsia" w:ascii="仿宋" w:hAnsi="仿宋" w:eastAsia="仿宋"/>
          <w:b/>
          <w:bCs/>
          <w:sz w:val="32"/>
          <w:szCs w:val="32"/>
        </w:rPr>
      </w:pPr>
      <w:r>
        <w:rPr>
          <w:rFonts w:hint="eastAsia" w:ascii="仿宋" w:hAnsi="仿宋" w:eastAsia="仿宋"/>
          <w:b/>
          <w:bCs/>
          <w:spacing w:val="-1"/>
          <w:kern w:val="0"/>
          <w:sz w:val="32"/>
          <w:szCs w:val="32"/>
        </w:rPr>
        <w:t>九、其他重要事项情况说明</w:t>
      </w:r>
    </w:p>
    <w:p w14:paraId="06D9E64A">
      <w:pPr>
        <w:kinsoku w:val="0"/>
        <w:overflowPunct w:val="0"/>
        <w:autoSpaceDE w:val="0"/>
        <w:autoSpaceDN w:val="0"/>
        <w:adjustRightInd w:val="0"/>
        <w:snapToGrid w:val="0"/>
        <w:spacing w:line="580" w:lineRule="exact"/>
        <w:ind w:firstLine="643" w:firstLineChars="200"/>
        <w:rPr>
          <w:rFonts w:hint="eastAsia" w:ascii="仿宋" w:hAnsi="仿宋" w:eastAsia="仿宋"/>
          <w:sz w:val="32"/>
          <w:szCs w:val="32"/>
        </w:rPr>
      </w:pPr>
      <w:r>
        <w:rPr>
          <w:rFonts w:hint="eastAsia" w:ascii="仿宋" w:hAnsi="仿宋" w:eastAsia="仿宋"/>
          <w:b/>
          <w:kern w:val="0"/>
          <w:sz w:val="32"/>
          <w:szCs w:val="32"/>
        </w:rPr>
        <w:t>（一）行政（事业）单位机构运转经费</w:t>
      </w:r>
    </w:p>
    <w:p w14:paraId="79189077">
      <w:pPr>
        <w:kinsoku w:val="0"/>
        <w:overflowPunct w:val="0"/>
        <w:autoSpaceDE w:val="0"/>
        <w:autoSpaceDN w:val="0"/>
        <w:adjustRightInd w:val="0"/>
        <w:snapToGrid w:val="0"/>
        <w:spacing w:line="580" w:lineRule="exact"/>
        <w:ind w:firstLine="640" w:firstLineChars="200"/>
        <w:rPr>
          <w:rFonts w:hint="eastAsia" w:ascii="仿宋" w:hAnsi="仿宋" w:eastAsia="仿宋"/>
          <w:sz w:val="32"/>
          <w:szCs w:val="32"/>
        </w:rPr>
      </w:pPr>
      <w:r>
        <w:rPr>
          <w:rFonts w:hint="eastAsia" w:ascii="仿宋" w:hAnsi="仿宋" w:eastAsia="仿宋"/>
          <w:sz w:val="32"/>
          <w:szCs w:val="32"/>
        </w:rPr>
        <w:t>焦作市马村区人民法院</w:t>
      </w:r>
      <w:r>
        <w:rPr>
          <w:rFonts w:hint="eastAsia" w:ascii="仿宋" w:hAnsi="仿宋" w:eastAsia="仿宋"/>
          <w:sz w:val="32"/>
          <w:szCs w:val="32"/>
          <w:lang w:eastAsia="zh-CN"/>
        </w:rPr>
        <w:t>2026</w:t>
      </w:r>
      <w:r>
        <w:rPr>
          <w:rFonts w:hint="eastAsia" w:ascii="仿宋" w:hAnsi="仿宋" w:eastAsia="仿宋"/>
          <w:sz w:val="32"/>
          <w:szCs w:val="32"/>
        </w:rPr>
        <w:t>年机构运转经费支出预算</w:t>
      </w:r>
      <w:r>
        <w:rPr>
          <w:rFonts w:hint="eastAsia" w:ascii="仿宋" w:hAnsi="仿宋" w:eastAsia="仿宋"/>
          <w:sz w:val="32"/>
          <w:szCs w:val="32"/>
          <w:lang w:val="en-US" w:eastAsia="zh-CN"/>
        </w:rPr>
        <w:t>173.9</w:t>
      </w:r>
      <w:r>
        <w:rPr>
          <w:rFonts w:hint="eastAsia" w:ascii="仿宋" w:hAnsi="仿宋" w:eastAsia="仿宋"/>
          <w:sz w:val="32"/>
          <w:szCs w:val="32"/>
        </w:rPr>
        <w:t>万元，主要保障机构正常运转及正常履职需要。</w:t>
      </w:r>
    </w:p>
    <w:p w14:paraId="7227C2CF">
      <w:pPr>
        <w:kinsoku w:val="0"/>
        <w:overflowPunct w:val="0"/>
        <w:autoSpaceDE w:val="0"/>
        <w:autoSpaceDN w:val="0"/>
        <w:adjustRightInd w:val="0"/>
        <w:snapToGrid w:val="0"/>
        <w:spacing w:line="580" w:lineRule="exact"/>
        <w:ind w:firstLine="643" w:firstLineChars="200"/>
        <w:rPr>
          <w:rFonts w:hint="eastAsia" w:ascii="仿宋" w:hAnsi="仿宋" w:eastAsia="仿宋"/>
          <w:b/>
          <w:kern w:val="0"/>
          <w:sz w:val="32"/>
          <w:szCs w:val="32"/>
        </w:rPr>
      </w:pPr>
      <w:r>
        <w:rPr>
          <w:rFonts w:hint="eastAsia" w:ascii="仿宋" w:hAnsi="仿宋" w:eastAsia="仿宋"/>
          <w:b/>
          <w:kern w:val="0"/>
          <w:sz w:val="32"/>
          <w:szCs w:val="32"/>
        </w:rPr>
        <w:t>（二）政府采购支出情况</w:t>
      </w:r>
    </w:p>
    <w:p w14:paraId="5D4A1F1B">
      <w:pPr>
        <w:kinsoku w:val="0"/>
        <w:overflowPunct w:val="0"/>
        <w:autoSpaceDE w:val="0"/>
        <w:autoSpaceDN w:val="0"/>
        <w:adjustRightInd w:val="0"/>
        <w:snapToGrid w:val="0"/>
        <w:spacing w:line="580" w:lineRule="exact"/>
        <w:ind w:firstLine="640" w:firstLineChars="200"/>
        <w:rPr>
          <w:rFonts w:hint="eastAsia" w:ascii="仿宋" w:hAnsi="仿宋" w:eastAsia="仿宋"/>
          <w:sz w:val="32"/>
          <w:szCs w:val="32"/>
        </w:rPr>
      </w:pPr>
      <w:r>
        <w:rPr>
          <w:rFonts w:hint="eastAsia" w:ascii="仿宋" w:hAnsi="仿宋" w:eastAsia="仿宋"/>
          <w:sz w:val="32"/>
          <w:szCs w:val="32"/>
        </w:rPr>
        <w:t>焦作市马村区人民法院</w:t>
      </w:r>
      <w:r>
        <w:rPr>
          <w:rFonts w:hint="eastAsia" w:ascii="仿宋" w:hAnsi="仿宋" w:eastAsia="仿宋"/>
          <w:sz w:val="32"/>
          <w:szCs w:val="32"/>
          <w:lang w:eastAsia="zh-CN"/>
        </w:rPr>
        <w:t>2026</w:t>
      </w:r>
      <w:r>
        <w:rPr>
          <w:rFonts w:hint="eastAsia" w:ascii="仿宋" w:hAnsi="仿宋" w:eastAsia="仿宋"/>
          <w:sz w:val="32"/>
          <w:szCs w:val="32"/>
        </w:rPr>
        <w:t>年政府采购预算安排0万元，其中：政府采购货物预算0万元、政府采购工程预算0万元、政府采购服务预算0万元。</w:t>
      </w:r>
    </w:p>
    <w:p w14:paraId="530F80BF">
      <w:pPr>
        <w:kinsoku w:val="0"/>
        <w:overflowPunct w:val="0"/>
        <w:autoSpaceDE w:val="0"/>
        <w:autoSpaceDN w:val="0"/>
        <w:adjustRightInd w:val="0"/>
        <w:snapToGrid w:val="0"/>
        <w:spacing w:line="580" w:lineRule="exact"/>
        <w:ind w:firstLine="643" w:firstLineChars="200"/>
        <w:rPr>
          <w:rFonts w:hint="eastAsia" w:ascii="仿宋" w:hAnsi="仿宋" w:eastAsia="仿宋"/>
          <w:b/>
          <w:bCs/>
          <w:sz w:val="32"/>
          <w:szCs w:val="32"/>
          <w:lang w:eastAsia="zh-CN"/>
        </w:rPr>
      </w:pPr>
      <w:r>
        <w:rPr>
          <w:rFonts w:hint="eastAsia" w:ascii="仿宋" w:hAnsi="仿宋" w:eastAsia="仿宋"/>
          <w:b/>
          <w:bCs/>
          <w:sz w:val="32"/>
          <w:szCs w:val="32"/>
        </w:rPr>
        <w:t>（三）</w:t>
      </w:r>
      <w:r>
        <w:rPr>
          <w:rFonts w:hint="eastAsia" w:ascii="仿宋" w:hAnsi="仿宋" w:eastAsia="仿宋"/>
          <w:b/>
          <w:bCs/>
          <w:sz w:val="32"/>
          <w:szCs w:val="32"/>
          <w:lang w:eastAsia="zh-CN"/>
        </w:rPr>
        <w:t>预算绩效情况说明</w:t>
      </w:r>
    </w:p>
    <w:p w14:paraId="101582E1">
      <w:pPr>
        <w:kinsoku w:val="0"/>
        <w:overflowPunct w:val="0"/>
        <w:autoSpaceDE w:val="0"/>
        <w:autoSpaceDN w:val="0"/>
        <w:adjustRightInd w:val="0"/>
        <w:snapToGrid w:val="0"/>
        <w:spacing w:line="580" w:lineRule="exact"/>
        <w:ind w:firstLine="640" w:firstLineChars="200"/>
        <w:rPr>
          <w:rFonts w:hint="eastAsia" w:ascii="仿宋" w:hAnsi="仿宋" w:eastAsia="仿宋"/>
          <w:bCs/>
          <w:kern w:val="0"/>
          <w:sz w:val="32"/>
          <w:szCs w:val="32"/>
        </w:rPr>
      </w:pPr>
      <w:r>
        <w:rPr>
          <w:rFonts w:hint="eastAsia" w:ascii="仿宋" w:hAnsi="仿宋" w:eastAsia="仿宋"/>
          <w:sz w:val="32"/>
          <w:szCs w:val="32"/>
          <w:lang w:eastAsia="zh-CN"/>
        </w:rPr>
        <w:t>2026</w:t>
      </w:r>
      <w:r>
        <w:rPr>
          <w:rFonts w:hint="eastAsia" w:ascii="仿宋" w:hAnsi="仿宋" w:eastAsia="仿宋"/>
          <w:sz w:val="32"/>
          <w:szCs w:val="32"/>
        </w:rPr>
        <w:t>年</w:t>
      </w:r>
      <w:r>
        <w:rPr>
          <w:rFonts w:hint="eastAsia" w:ascii="仿宋" w:hAnsi="仿宋" w:eastAsia="仿宋"/>
          <w:sz w:val="32"/>
          <w:szCs w:val="32"/>
          <w:lang w:val="en-US" w:eastAsia="zh-CN"/>
        </w:rPr>
        <w:t>焦作市马村区人民法院</w:t>
      </w:r>
      <w:r>
        <w:rPr>
          <w:rFonts w:hint="eastAsia" w:ascii="仿宋" w:hAnsi="仿宋" w:eastAsia="仿宋"/>
          <w:sz w:val="32"/>
          <w:szCs w:val="32"/>
          <w:lang w:eastAsia="zh-CN"/>
        </w:rPr>
        <w:t>项目支出全面实施绩效目标管理，涉及预算拨款</w:t>
      </w:r>
      <w:r>
        <w:rPr>
          <w:rFonts w:hint="eastAsia" w:ascii="仿宋" w:hAnsi="仿宋" w:eastAsia="仿宋"/>
          <w:sz w:val="32"/>
          <w:szCs w:val="32"/>
          <w:lang w:val="en-US" w:eastAsia="zh-CN"/>
        </w:rPr>
        <w:t>462</w:t>
      </w:r>
      <w:r>
        <w:rPr>
          <w:rFonts w:hint="eastAsia" w:ascii="仿宋" w:hAnsi="仿宋" w:eastAsia="仿宋"/>
          <w:sz w:val="32"/>
          <w:szCs w:val="32"/>
        </w:rPr>
        <w:t>万元</w:t>
      </w:r>
      <w:r>
        <w:rPr>
          <w:rFonts w:hint="eastAsia" w:ascii="仿宋" w:hAnsi="仿宋" w:eastAsia="仿宋"/>
          <w:sz w:val="32"/>
          <w:szCs w:val="32"/>
          <w:lang w:val="en-US" w:eastAsia="zh-CN"/>
        </w:rPr>
        <w:t>,共6个项目，无部门重点评价项目。根据以前年度绩效评价结果，优化聘用制书记员、培训费等项目支出2026年预算安排，并进一步改进管理、完善政策。</w:t>
      </w:r>
    </w:p>
    <w:p w14:paraId="00783584">
      <w:pPr>
        <w:kinsoku w:val="0"/>
        <w:overflowPunct w:val="0"/>
        <w:autoSpaceDE w:val="0"/>
        <w:autoSpaceDN w:val="0"/>
        <w:adjustRightInd w:val="0"/>
        <w:snapToGrid w:val="0"/>
        <w:spacing w:line="580" w:lineRule="exact"/>
        <w:ind w:firstLine="643" w:firstLineChars="200"/>
        <w:rPr>
          <w:rFonts w:hint="eastAsia" w:ascii="仿宋" w:hAnsi="仿宋" w:eastAsia="仿宋"/>
          <w:b/>
          <w:kern w:val="0"/>
          <w:sz w:val="32"/>
          <w:szCs w:val="32"/>
        </w:rPr>
      </w:pPr>
      <w:r>
        <w:rPr>
          <w:rFonts w:hint="eastAsia" w:ascii="仿宋" w:hAnsi="仿宋" w:eastAsia="仿宋"/>
          <w:b/>
          <w:kern w:val="0"/>
          <w:sz w:val="32"/>
          <w:szCs w:val="32"/>
        </w:rPr>
        <w:t>（四）国有资产占用情况</w:t>
      </w:r>
    </w:p>
    <w:p w14:paraId="34A4A3B8">
      <w:pPr>
        <w:kinsoku w:val="0"/>
        <w:overflowPunct w:val="0"/>
        <w:autoSpaceDE w:val="0"/>
        <w:autoSpaceDN w:val="0"/>
        <w:adjustRightInd w:val="0"/>
        <w:snapToGrid w:val="0"/>
        <w:spacing w:line="580" w:lineRule="exact"/>
        <w:ind w:firstLine="640" w:firstLineChars="200"/>
        <w:rPr>
          <w:rFonts w:hint="eastAsia" w:ascii="仿宋" w:hAnsi="仿宋" w:eastAsia="仿宋"/>
          <w:sz w:val="32"/>
          <w:szCs w:val="32"/>
        </w:rPr>
      </w:pPr>
      <w:r>
        <w:rPr>
          <w:rFonts w:hint="eastAsia" w:ascii="仿宋" w:hAnsi="仿宋" w:eastAsia="仿宋"/>
          <w:sz w:val="32"/>
          <w:szCs w:val="32"/>
          <w:lang w:eastAsia="zh-CN"/>
        </w:rPr>
        <w:t>2025</w:t>
      </w:r>
      <w:r>
        <w:rPr>
          <w:rFonts w:hint="eastAsia" w:ascii="仿宋" w:hAnsi="仿宋" w:eastAsia="仿宋"/>
          <w:sz w:val="32"/>
          <w:szCs w:val="32"/>
        </w:rPr>
        <w:t>年期末，焦作市马村区人民法院共有车辆11辆，其中：一般公务用车0辆、一般执法执勤用车11辆、特种专业技术用车0辆，其他用车0辆；单价50万元以上通用设备0台（套），单位价值100万元以上专用设备0台（套）。</w:t>
      </w:r>
    </w:p>
    <w:p w14:paraId="7CEE8C9D">
      <w:pPr>
        <w:kinsoku w:val="0"/>
        <w:overflowPunct w:val="0"/>
        <w:autoSpaceDE w:val="0"/>
        <w:autoSpaceDN w:val="0"/>
        <w:adjustRightInd w:val="0"/>
        <w:snapToGrid w:val="0"/>
        <w:spacing w:line="360" w:lineRule="auto"/>
        <w:ind w:firstLine="643" w:firstLineChars="200"/>
        <w:rPr>
          <w:rFonts w:hint="eastAsia" w:ascii="仿宋" w:hAnsi="仿宋" w:eastAsia="仿宋"/>
          <w:b/>
          <w:sz w:val="32"/>
          <w:szCs w:val="32"/>
        </w:rPr>
      </w:pPr>
      <w:r>
        <w:rPr>
          <w:rFonts w:hint="eastAsia" w:ascii="仿宋" w:hAnsi="仿宋" w:eastAsia="仿宋"/>
          <w:b/>
          <w:sz w:val="32"/>
          <w:szCs w:val="32"/>
        </w:rPr>
        <w:t>（五）专项转移支付项目情况</w:t>
      </w:r>
    </w:p>
    <w:p w14:paraId="1E44F60B">
      <w:pPr>
        <w:kinsoku w:val="0"/>
        <w:overflowPunct w:val="0"/>
        <w:autoSpaceDE w:val="0"/>
        <w:autoSpaceDN w:val="0"/>
        <w:adjustRightInd w:val="0"/>
        <w:snapToGrid w:val="0"/>
        <w:spacing w:line="580" w:lineRule="exact"/>
        <w:ind w:firstLine="640" w:firstLineChars="200"/>
        <w:rPr>
          <w:rFonts w:hint="eastAsia" w:ascii="仿宋" w:hAnsi="仿宋" w:eastAsia="仿宋"/>
          <w:sz w:val="32"/>
          <w:szCs w:val="32"/>
        </w:rPr>
      </w:pPr>
      <w:r>
        <w:rPr>
          <w:rFonts w:hint="eastAsia" w:ascii="仿宋" w:hAnsi="仿宋" w:eastAsia="仿宋"/>
          <w:sz w:val="32"/>
          <w:szCs w:val="32"/>
        </w:rPr>
        <w:t>我院没有负责管理的专项转移支付项目。</w:t>
      </w:r>
    </w:p>
    <w:p w14:paraId="0056885A">
      <w:pPr>
        <w:adjustRightInd w:val="0"/>
        <w:snapToGrid w:val="0"/>
        <w:spacing w:line="360" w:lineRule="auto"/>
        <w:jc w:val="center"/>
        <w:rPr>
          <w:rFonts w:hint="eastAsia" w:ascii="仿宋" w:hAnsi="仿宋" w:eastAsia="仿宋"/>
          <w:sz w:val="32"/>
          <w:szCs w:val="32"/>
        </w:rPr>
      </w:pPr>
      <w:r>
        <w:rPr>
          <w:rFonts w:hint="eastAsia" w:ascii="仿宋" w:hAnsi="仿宋" w:eastAsia="仿宋"/>
          <w:sz w:val="32"/>
          <w:szCs w:val="32"/>
        </w:rPr>
        <w:t xml:space="preserve"> </w:t>
      </w:r>
    </w:p>
    <w:p w14:paraId="38D1E3BD">
      <w:pPr>
        <w:adjustRightInd w:val="0"/>
        <w:snapToGrid w:val="0"/>
        <w:spacing w:line="360" w:lineRule="auto"/>
        <w:jc w:val="center"/>
        <w:rPr>
          <w:rFonts w:hint="eastAsia" w:ascii="仿宋" w:hAnsi="仿宋" w:eastAsia="仿宋"/>
          <w:sz w:val="32"/>
          <w:szCs w:val="32"/>
        </w:rPr>
      </w:pPr>
      <w:r>
        <w:rPr>
          <w:rFonts w:hint="eastAsia" w:ascii="仿宋" w:hAnsi="仿宋" w:eastAsia="仿宋"/>
          <w:sz w:val="32"/>
          <w:szCs w:val="32"/>
        </w:rPr>
        <w:t xml:space="preserve">  </w:t>
      </w:r>
    </w:p>
    <w:p w14:paraId="56C1F535">
      <w:pPr>
        <w:adjustRightInd w:val="0"/>
        <w:snapToGrid w:val="0"/>
        <w:spacing w:line="360" w:lineRule="auto"/>
        <w:jc w:val="center"/>
        <w:rPr>
          <w:rFonts w:hint="eastAsia" w:ascii="仿宋" w:hAnsi="仿宋" w:eastAsia="仿宋"/>
          <w:sz w:val="32"/>
          <w:szCs w:val="32"/>
        </w:rPr>
      </w:pPr>
      <w:r>
        <w:rPr>
          <w:rFonts w:hint="eastAsia" w:ascii="仿宋" w:hAnsi="仿宋" w:eastAsia="仿宋"/>
          <w:sz w:val="32"/>
          <w:szCs w:val="32"/>
        </w:rPr>
        <w:t xml:space="preserve"> </w:t>
      </w:r>
    </w:p>
    <w:p w14:paraId="3BAD7AD7">
      <w:pPr>
        <w:adjustRightInd w:val="0"/>
        <w:snapToGrid w:val="0"/>
        <w:spacing w:line="360" w:lineRule="auto"/>
        <w:jc w:val="center"/>
        <w:rPr>
          <w:rFonts w:hint="eastAsia" w:ascii="仿宋" w:hAnsi="仿宋" w:eastAsia="仿宋"/>
          <w:sz w:val="32"/>
          <w:szCs w:val="32"/>
        </w:rPr>
      </w:pPr>
      <w:r>
        <w:rPr>
          <w:rFonts w:hint="eastAsia" w:ascii="仿宋" w:hAnsi="仿宋" w:eastAsia="仿宋"/>
          <w:sz w:val="32"/>
          <w:szCs w:val="32"/>
        </w:rPr>
        <w:t>第三部分</w:t>
      </w:r>
    </w:p>
    <w:p w14:paraId="7746DDB4">
      <w:pPr>
        <w:adjustRightInd w:val="0"/>
        <w:snapToGrid w:val="0"/>
        <w:spacing w:line="360" w:lineRule="auto"/>
        <w:jc w:val="center"/>
        <w:rPr>
          <w:rFonts w:hint="eastAsia" w:ascii="仿宋" w:hAnsi="仿宋" w:eastAsia="仿宋"/>
          <w:sz w:val="32"/>
          <w:szCs w:val="32"/>
        </w:rPr>
      </w:pPr>
      <w:r>
        <w:rPr>
          <w:rFonts w:hint="eastAsia" w:ascii="仿宋" w:hAnsi="仿宋" w:eastAsia="仿宋"/>
          <w:sz w:val="32"/>
          <w:szCs w:val="32"/>
        </w:rPr>
        <w:t>名词解释</w:t>
      </w:r>
    </w:p>
    <w:p w14:paraId="381C86D8">
      <w:pPr>
        <w:kinsoku w:val="0"/>
        <w:overflowPunct w:val="0"/>
        <w:autoSpaceDE w:val="0"/>
        <w:autoSpaceDN w:val="0"/>
        <w:adjustRightInd w:val="0"/>
        <w:snapToGrid w:val="0"/>
        <w:spacing w:line="360" w:lineRule="auto"/>
        <w:ind w:firstLine="640" w:firstLineChars="200"/>
        <w:rPr>
          <w:rFonts w:hint="eastAsia" w:ascii="仿宋" w:hAnsi="仿宋" w:eastAsia="仿宋"/>
          <w:sz w:val="32"/>
          <w:szCs w:val="32"/>
        </w:rPr>
      </w:pPr>
      <w:r>
        <w:rPr>
          <w:rFonts w:hint="eastAsia" w:ascii="仿宋" w:hAnsi="仿宋" w:eastAsia="仿宋"/>
          <w:sz w:val="32"/>
          <w:szCs w:val="32"/>
        </w:rPr>
        <w:t>一、财政拨款收入：是指省级财政当年拨付的资金；包括一般公共预算拨款、政府性基金预算拨款、国有资本经营预算拨款。</w:t>
      </w:r>
    </w:p>
    <w:p w14:paraId="7ED11F02">
      <w:pPr>
        <w:kinsoku w:val="0"/>
        <w:overflowPunct w:val="0"/>
        <w:autoSpaceDE w:val="0"/>
        <w:autoSpaceDN w:val="0"/>
        <w:adjustRightInd w:val="0"/>
        <w:snapToGrid w:val="0"/>
        <w:spacing w:line="360" w:lineRule="auto"/>
        <w:ind w:firstLine="640" w:firstLineChars="200"/>
        <w:rPr>
          <w:rFonts w:hint="eastAsia" w:ascii="仿宋" w:hAnsi="仿宋" w:eastAsia="仿宋"/>
          <w:sz w:val="32"/>
          <w:szCs w:val="32"/>
        </w:rPr>
      </w:pPr>
      <w:r>
        <w:rPr>
          <w:rFonts w:hint="eastAsia" w:ascii="仿宋" w:hAnsi="仿宋" w:eastAsia="仿宋"/>
          <w:sz w:val="32"/>
          <w:szCs w:val="32"/>
        </w:rPr>
        <w:t>二、财政专户管理资金：是指缴入财政专户、实行专项管理的高中以上学费、住宿费、高校委托培养费、函大、电大、夜大及短训班培训费等教育收费。</w:t>
      </w:r>
    </w:p>
    <w:p w14:paraId="08F4ECCC">
      <w:pPr>
        <w:kinsoku w:val="0"/>
        <w:overflowPunct w:val="0"/>
        <w:autoSpaceDE w:val="0"/>
        <w:autoSpaceDN w:val="0"/>
        <w:adjustRightInd w:val="0"/>
        <w:snapToGrid w:val="0"/>
        <w:spacing w:line="360" w:lineRule="auto"/>
        <w:ind w:firstLine="640" w:firstLineChars="200"/>
        <w:rPr>
          <w:rFonts w:hint="eastAsia" w:ascii="仿宋" w:hAnsi="仿宋" w:eastAsia="仿宋"/>
          <w:sz w:val="32"/>
          <w:szCs w:val="32"/>
        </w:rPr>
      </w:pPr>
      <w:r>
        <w:rPr>
          <w:rFonts w:hint="eastAsia" w:ascii="仿宋" w:hAnsi="仿宋" w:eastAsia="仿宋"/>
          <w:sz w:val="32"/>
          <w:szCs w:val="32"/>
        </w:rPr>
        <w:t>三、事业收入：是指事业单位开展专业活动及辅助活动所取得的收入，不包括教育收费。</w:t>
      </w:r>
    </w:p>
    <w:p w14:paraId="2E491DAA">
      <w:pPr>
        <w:kinsoku w:val="0"/>
        <w:overflowPunct w:val="0"/>
        <w:autoSpaceDE w:val="0"/>
        <w:autoSpaceDN w:val="0"/>
        <w:adjustRightInd w:val="0"/>
        <w:snapToGrid w:val="0"/>
        <w:spacing w:line="360" w:lineRule="auto"/>
        <w:ind w:firstLine="640" w:firstLineChars="200"/>
        <w:rPr>
          <w:rFonts w:hint="eastAsia" w:ascii="仿宋" w:hAnsi="仿宋" w:eastAsia="仿宋"/>
          <w:sz w:val="32"/>
          <w:szCs w:val="32"/>
        </w:rPr>
      </w:pPr>
      <w:r>
        <w:rPr>
          <w:rFonts w:hint="eastAsia" w:ascii="仿宋" w:hAnsi="仿宋" w:eastAsia="仿宋"/>
          <w:sz w:val="32"/>
          <w:szCs w:val="32"/>
        </w:rPr>
        <w:t>四、事业单位经营收入：是指事业单位在专业业务活动及其辅助活动之外开展非独立核算经营活动取得的收入</w:t>
      </w:r>
    </w:p>
    <w:p w14:paraId="0E021F10">
      <w:pPr>
        <w:kinsoku w:val="0"/>
        <w:overflowPunct w:val="0"/>
        <w:autoSpaceDE w:val="0"/>
        <w:autoSpaceDN w:val="0"/>
        <w:adjustRightInd w:val="0"/>
        <w:snapToGrid w:val="0"/>
        <w:spacing w:line="360" w:lineRule="auto"/>
        <w:ind w:firstLine="640" w:firstLineChars="200"/>
        <w:rPr>
          <w:rFonts w:hint="eastAsia" w:ascii="仿宋" w:hAnsi="仿宋" w:eastAsia="仿宋"/>
          <w:sz w:val="32"/>
          <w:szCs w:val="32"/>
        </w:rPr>
      </w:pPr>
      <w:r>
        <w:rPr>
          <w:rFonts w:hint="eastAsia" w:ascii="仿宋" w:hAnsi="仿宋" w:eastAsia="仿宋"/>
          <w:sz w:val="32"/>
          <w:szCs w:val="32"/>
        </w:rPr>
        <w:t xml:space="preserve">五、其他收入：是指部门取得的除“财政拨款”、“事业收入”、“事业单位经营收入”等以外的收入。 </w:t>
      </w:r>
    </w:p>
    <w:p w14:paraId="23CD8F53">
      <w:pPr>
        <w:kinsoku w:val="0"/>
        <w:overflowPunct w:val="0"/>
        <w:autoSpaceDE w:val="0"/>
        <w:autoSpaceDN w:val="0"/>
        <w:adjustRightInd w:val="0"/>
        <w:snapToGrid w:val="0"/>
        <w:spacing w:line="360" w:lineRule="auto"/>
        <w:ind w:firstLine="640" w:firstLineChars="200"/>
        <w:rPr>
          <w:rFonts w:hint="eastAsia" w:ascii="仿宋" w:hAnsi="仿宋" w:eastAsia="仿宋"/>
          <w:sz w:val="32"/>
          <w:szCs w:val="32"/>
        </w:rPr>
      </w:pPr>
      <w:r>
        <w:rPr>
          <w:rFonts w:hint="eastAsia" w:ascii="仿宋" w:hAnsi="仿宋" w:eastAsia="仿宋"/>
          <w:sz w:val="32"/>
          <w:szCs w:val="32"/>
        </w:rPr>
        <w:t>六、用事业基金弥补收支差额：是指事业单位在当年的“财政拨款收入”、“事业收入”、“经营收入”和“其他收入”不足以安排当年支出的情况下，使用以前年度积累的事业基金（即事业单位以前各年度收支相抵后，按国家规定提取、用于弥补以后年度收支差额的基金）弥补当年收支缺口的资金。</w:t>
      </w:r>
    </w:p>
    <w:p w14:paraId="3BB312DD">
      <w:pPr>
        <w:kinsoku w:val="0"/>
        <w:overflowPunct w:val="0"/>
        <w:autoSpaceDE w:val="0"/>
        <w:autoSpaceDN w:val="0"/>
        <w:adjustRightInd w:val="0"/>
        <w:snapToGrid w:val="0"/>
        <w:spacing w:line="360" w:lineRule="auto"/>
        <w:ind w:firstLine="640" w:firstLineChars="200"/>
        <w:rPr>
          <w:rFonts w:hint="eastAsia" w:ascii="仿宋" w:hAnsi="仿宋" w:eastAsia="仿宋"/>
          <w:sz w:val="32"/>
          <w:szCs w:val="32"/>
        </w:rPr>
      </w:pPr>
      <w:r>
        <w:rPr>
          <w:rFonts w:hint="eastAsia" w:ascii="仿宋" w:hAnsi="仿宋" w:eastAsia="仿宋"/>
          <w:sz w:val="32"/>
          <w:szCs w:val="32"/>
        </w:rPr>
        <w:t>七、基本支出：是指为保障机构正常运转、完成日常工作任务所必需的开支，其内容包括人员经费和日常公用经费两部分。</w:t>
      </w:r>
    </w:p>
    <w:p w14:paraId="4A7FAA00">
      <w:pPr>
        <w:kinsoku w:val="0"/>
        <w:overflowPunct w:val="0"/>
        <w:autoSpaceDE w:val="0"/>
        <w:autoSpaceDN w:val="0"/>
        <w:adjustRightInd w:val="0"/>
        <w:snapToGrid w:val="0"/>
        <w:spacing w:line="360" w:lineRule="auto"/>
        <w:ind w:firstLine="640" w:firstLineChars="200"/>
        <w:rPr>
          <w:rFonts w:hint="eastAsia" w:ascii="仿宋" w:hAnsi="仿宋" w:eastAsia="仿宋"/>
          <w:sz w:val="32"/>
          <w:szCs w:val="32"/>
        </w:rPr>
      </w:pPr>
      <w:r>
        <w:rPr>
          <w:rFonts w:hint="eastAsia" w:ascii="仿宋" w:hAnsi="仿宋" w:eastAsia="仿宋"/>
          <w:sz w:val="32"/>
          <w:szCs w:val="32"/>
        </w:rPr>
        <w:t>八、项目支出：是指在基本支出之外，为完成特定的行政工作任务或事业发展目标所发生的支出。</w:t>
      </w:r>
    </w:p>
    <w:p w14:paraId="2B08942D">
      <w:pPr>
        <w:kinsoku w:val="0"/>
        <w:overflowPunct w:val="0"/>
        <w:autoSpaceDE w:val="0"/>
        <w:autoSpaceDN w:val="0"/>
        <w:adjustRightInd w:val="0"/>
        <w:snapToGrid w:val="0"/>
        <w:spacing w:line="360" w:lineRule="auto"/>
        <w:ind w:firstLine="640" w:firstLineChars="200"/>
        <w:rPr>
          <w:rFonts w:hint="eastAsia" w:ascii="仿宋" w:hAnsi="仿宋" w:eastAsia="仿宋"/>
          <w:sz w:val="32"/>
          <w:szCs w:val="32"/>
        </w:rPr>
      </w:pPr>
      <w:r>
        <w:rPr>
          <w:rFonts w:hint="eastAsia" w:ascii="仿宋" w:hAnsi="仿宋" w:eastAsia="仿宋"/>
          <w:sz w:val="32"/>
          <w:szCs w:val="32"/>
        </w:rPr>
        <w:t>九、“三公”经费：是指纳入省级财政预算管理，部门使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76564DBB">
      <w:pPr>
        <w:kinsoku w:val="0"/>
        <w:overflowPunct w:val="0"/>
        <w:autoSpaceDE w:val="0"/>
        <w:autoSpaceDN w:val="0"/>
        <w:adjustRightInd w:val="0"/>
        <w:snapToGrid w:val="0"/>
        <w:spacing w:line="360" w:lineRule="auto"/>
        <w:ind w:firstLine="640" w:firstLineChars="200"/>
        <w:rPr>
          <w:rFonts w:hint="eastAsia" w:ascii="仿宋" w:hAnsi="仿宋" w:eastAsia="仿宋"/>
          <w:sz w:val="32"/>
          <w:szCs w:val="32"/>
        </w:rPr>
      </w:pPr>
      <w:r>
        <w:rPr>
          <w:rFonts w:hint="eastAsia" w:ascii="仿宋" w:hAnsi="仿宋" w:eastAsia="仿宋"/>
          <w:sz w:val="32"/>
          <w:szCs w:val="32"/>
        </w:rPr>
        <w:t>十、行政（事业）单位机构运转经费情况：是指为保障单位（包括行政单位和事业单位）运行用于购买货物和服务的各项资金，包括办公及印刷费、邮电费、差旅费、会议费、福利费、日常维修费及一般设备购置费、办公用房水电费、办公用房取暖费、办公用房物业管理费、公务用车运行维护费以及其他费用。</w:t>
      </w:r>
    </w:p>
    <w:p w14:paraId="074A7EDE">
      <w:pPr>
        <w:adjustRightInd w:val="0"/>
        <w:snapToGrid w:val="0"/>
        <w:spacing w:line="360" w:lineRule="auto"/>
        <w:rPr>
          <w:rFonts w:hint="eastAsia" w:ascii="仿宋" w:hAnsi="仿宋" w:eastAsia="仿宋"/>
          <w:sz w:val="32"/>
          <w:szCs w:val="32"/>
        </w:rPr>
      </w:pPr>
      <w:r>
        <w:rPr>
          <w:rFonts w:hint="eastAsia" w:ascii="仿宋" w:hAnsi="仿宋" w:eastAsia="仿宋"/>
          <w:sz w:val="32"/>
          <w:szCs w:val="32"/>
        </w:rPr>
        <w:t xml:space="preserve"> </w:t>
      </w:r>
    </w:p>
    <w:p w14:paraId="0581E927">
      <w:pPr>
        <w:adjustRightInd w:val="0"/>
        <w:snapToGrid w:val="0"/>
        <w:spacing w:line="360" w:lineRule="auto"/>
        <w:rPr>
          <w:rFonts w:hint="eastAsia" w:ascii="仿宋" w:hAnsi="仿宋" w:eastAsia="仿宋"/>
          <w:sz w:val="32"/>
          <w:szCs w:val="32"/>
        </w:rPr>
      </w:pPr>
      <w:r>
        <w:rPr>
          <w:rFonts w:hint="eastAsia" w:ascii="仿宋" w:hAnsi="仿宋" w:eastAsia="仿宋"/>
          <w:sz w:val="32"/>
          <w:szCs w:val="32"/>
        </w:rPr>
        <w:t xml:space="preserve"> </w:t>
      </w:r>
    </w:p>
    <w:p w14:paraId="0FBEA6F8">
      <w:pPr>
        <w:adjustRightInd w:val="0"/>
        <w:snapToGrid w:val="0"/>
        <w:spacing w:line="360" w:lineRule="auto"/>
        <w:rPr>
          <w:rFonts w:hint="eastAsia" w:ascii="仿宋" w:hAnsi="仿宋" w:eastAsia="仿宋"/>
          <w:sz w:val="32"/>
          <w:szCs w:val="32"/>
        </w:rPr>
      </w:pPr>
      <w:r>
        <w:rPr>
          <w:rFonts w:hint="eastAsia" w:ascii="仿宋" w:hAnsi="仿宋" w:eastAsia="仿宋"/>
          <w:sz w:val="32"/>
          <w:szCs w:val="32"/>
        </w:rPr>
        <w:t xml:space="preserve"> </w:t>
      </w:r>
    </w:p>
    <w:p w14:paraId="5F025B80">
      <w:pPr>
        <w:adjustRightInd w:val="0"/>
        <w:snapToGrid w:val="0"/>
        <w:spacing w:line="360" w:lineRule="auto"/>
        <w:rPr>
          <w:rFonts w:hint="eastAsia" w:ascii="仿宋" w:hAnsi="仿宋" w:eastAsia="仿宋"/>
          <w:sz w:val="32"/>
          <w:szCs w:val="32"/>
        </w:rPr>
      </w:pPr>
      <w:r>
        <w:rPr>
          <w:rFonts w:hint="eastAsia" w:ascii="仿宋" w:hAnsi="仿宋" w:eastAsia="仿宋"/>
          <w:sz w:val="32"/>
          <w:szCs w:val="32"/>
        </w:rPr>
        <w:t>附件：</w:t>
      </w:r>
    </w:p>
    <w:p w14:paraId="5EDEBD8A">
      <w:pPr>
        <w:adjustRightInd w:val="0"/>
        <w:snapToGrid w:val="0"/>
        <w:spacing w:line="360" w:lineRule="auto"/>
        <w:rPr>
          <w:rFonts w:hint="eastAsia" w:ascii="仿宋" w:hAnsi="仿宋" w:eastAsia="仿宋"/>
          <w:sz w:val="32"/>
          <w:szCs w:val="32"/>
        </w:rPr>
      </w:pPr>
      <w:r>
        <w:rPr>
          <w:rFonts w:hint="eastAsia" w:ascii="仿宋" w:hAnsi="仿宋" w:eastAsia="仿宋"/>
          <w:sz w:val="32"/>
          <w:szCs w:val="32"/>
        </w:rPr>
        <w:t xml:space="preserve"> </w:t>
      </w:r>
    </w:p>
    <w:p w14:paraId="724F3ABA">
      <w:pPr>
        <w:adjustRightInd w:val="0"/>
        <w:snapToGrid w:val="0"/>
        <w:spacing w:line="360" w:lineRule="auto"/>
        <w:rPr>
          <w:rFonts w:hint="eastAsia" w:ascii="仿宋" w:hAnsi="仿宋" w:eastAsia="仿宋"/>
          <w:sz w:val="32"/>
          <w:szCs w:val="32"/>
        </w:rPr>
      </w:pPr>
      <w:r>
        <w:rPr>
          <w:rFonts w:hint="eastAsia" w:ascii="仿宋" w:hAnsi="仿宋" w:eastAsia="仿宋"/>
          <w:sz w:val="32"/>
          <w:szCs w:val="32"/>
        </w:rPr>
        <w:t xml:space="preserve"> </w:t>
      </w:r>
    </w:p>
    <w:p w14:paraId="6A07C5FF">
      <w:pPr>
        <w:adjustRightInd w:val="0"/>
        <w:snapToGrid w:val="0"/>
        <w:spacing w:line="360" w:lineRule="auto"/>
        <w:rPr>
          <w:rFonts w:hint="eastAsia" w:ascii="仿宋" w:hAnsi="仿宋" w:eastAsia="仿宋"/>
          <w:sz w:val="32"/>
          <w:szCs w:val="32"/>
        </w:rPr>
      </w:pPr>
      <w:r>
        <w:rPr>
          <w:rFonts w:hint="eastAsia" w:ascii="仿宋" w:hAnsi="仿宋" w:eastAsia="仿宋"/>
          <w:sz w:val="32"/>
          <w:szCs w:val="32"/>
        </w:rPr>
        <w:t xml:space="preserve"> </w:t>
      </w:r>
    </w:p>
    <w:p w14:paraId="3B1AD008">
      <w:pPr>
        <w:adjustRightInd w:val="0"/>
        <w:snapToGrid w:val="0"/>
        <w:spacing w:line="360" w:lineRule="auto"/>
        <w:jc w:val="center"/>
        <w:rPr>
          <w:rFonts w:hint="eastAsia" w:ascii="仿宋" w:hAnsi="仿宋" w:eastAsia="仿宋"/>
          <w:sz w:val="36"/>
          <w:szCs w:val="36"/>
        </w:rPr>
      </w:pPr>
      <w:r>
        <w:rPr>
          <w:rFonts w:hint="eastAsia" w:ascii="仿宋" w:hAnsi="仿宋" w:eastAsia="仿宋"/>
          <w:sz w:val="36"/>
          <w:szCs w:val="36"/>
        </w:rPr>
        <w:t>焦作市焦作市马村区人民法院</w:t>
      </w:r>
      <w:r>
        <w:rPr>
          <w:rFonts w:hint="eastAsia" w:ascii="仿宋" w:hAnsi="仿宋" w:eastAsia="仿宋"/>
          <w:sz w:val="36"/>
          <w:szCs w:val="36"/>
          <w:lang w:eastAsia="zh-CN"/>
        </w:rPr>
        <w:t>2026</w:t>
      </w:r>
      <w:r>
        <w:rPr>
          <w:rFonts w:hint="eastAsia" w:ascii="仿宋" w:hAnsi="仿宋" w:eastAsia="仿宋"/>
          <w:sz w:val="36"/>
          <w:szCs w:val="36"/>
        </w:rPr>
        <w:t>年部门预算表</w:t>
      </w:r>
    </w:p>
    <w:p w14:paraId="41BA768D">
      <w:pPr>
        <w:adjustRightInd w:val="0"/>
        <w:snapToGrid w:val="0"/>
        <w:spacing w:line="360" w:lineRule="auto"/>
        <w:ind w:firstLine="640" w:firstLineChars="200"/>
        <w:rPr>
          <w:rFonts w:hint="eastAsia" w:ascii="仿宋" w:hAnsi="仿宋" w:eastAsia="仿宋"/>
          <w:sz w:val="32"/>
          <w:szCs w:val="32"/>
        </w:rPr>
      </w:pPr>
      <w:r>
        <w:rPr>
          <w:rFonts w:hint="eastAsia" w:ascii="仿宋" w:hAnsi="仿宋" w:eastAsia="仿宋"/>
          <w:sz w:val="32"/>
          <w:szCs w:val="32"/>
        </w:rPr>
        <w:t xml:space="preserve"> </w:t>
      </w:r>
    </w:p>
    <w:p w14:paraId="30E7D035">
      <w:pPr>
        <w:adjustRightInd w:val="0"/>
        <w:snapToGrid w:val="0"/>
        <w:spacing w:line="360" w:lineRule="auto"/>
        <w:ind w:firstLine="640" w:firstLineChars="200"/>
        <w:rPr>
          <w:rFonts w:hint="eastAsia" w:ascii="仿宋" w:hAnsi="仿宋" w:eastAsia="仿宋"/>
          <w:sz w:val="32"/>
          <w:szCs w:val="32"/>
        </w:rPr>
      </w:pPr>
      <w:r>
        <w:rPr>
          <w:rFonts w:hint="eastAsia" w:ascii="仿宋" w:hAnsi="仿宋" w:eastAsia="仿宋"/>
          <w:sz w:val="32"/>
          <w:szCs w:val="32"/>
        </w:rPr>
        <w:t xml:space="preserve"> </w:t>
      </w:r>
    </w:p>
    <w:p w14:paraId="73A34DAA">
      <w:pPr>
        <w:adjustRightInd w:val="0"/>
        <w:snapToGrid w:val="0"/>
        <w:spacing w:line="360" w:lineRule="auto"/>
        <w:rPr>
          <w:rFonts w:hint="eastAsia" w:ascii="仿宋" w:hAnsi="仿宋" w:eastAsia="仿宋"/>
          <w:sz w:val="32"/>
          <w:szCs w:val="32"/>
        </w:rPr>
      </w:pPr>
      <w:r>
        <w:rPr>
          <w:rFonts w:hint="eastAsia" w:ascii="仿宋" w:hAnsi="仿宋" w:eastAsia="仿宋"/>
          <w:sz w:val="32"/>
          <w:szCs w:val="32"/>
        </w:rPr>
        <w:t xml:space="preserve"> </w:t>
      </w:r>
    </w:p>
    <w:p w14:paraId="588A982B">
      <w:pPr>
        <w:adjustRightInd w:val="0"/>
        <w:snapToGrid w:val="0"/>
        <w:spacing w:line="360" w:lineRule="auto"/>
        <w:rPr>
          <w:rFonts w:hint="eastAsia" w:ascii="仿宋" w:hAnsi="仿宋" w:eastAsia="仿宋"/>
          <w:sz w:val="32"/>
          <w:szCs w:val="32"/>
        </w:rPr>
      </w:pPr>
      <w:r>
        <w:rPr>
          <w:rFonts w:hint="eastAsia" w:ascii="仿宋" w:hAnsi="仿宋" w:eastAsia="仿宋"/>
          <w:sz w:val="32"/>
          <w:szCs w:val="32"/>
        </w:rPr>
        <w:t xml:space="preserve"> </w:t>
      </w:r>
    </w:p>
    <w:p w14:paraId="08EE8DC9">
      <w:pPr>
        <w:adjustRightInd w:val="0"/>
        <w:snapToGrid w:val="0"/>
        <w:spacing w:line="360" w:lineRule="auto"/>
        <w:rPr>
          <w:rFonts w:hint="eastAsia" w:ascii="仿宋" w:hAnsi="仿宋" w:eastAsia="仿宋"/>
          <w:sz w:val="32"/>
          <w:szCs w:val="32"/>
        </w:rPr>
      </w:pPr>
      <w:r>
        <w:rPr>
          <w:rFonts w:hint="eastAsia" w:ascii="仿宋" w:hAnsi="仿宋" w:eastAsia="仿宋"/>
          <w:sz w:val="32"/>
          <w:szCs w:val="32"/>
        </w:rPr>
        <w:t xml:space="preserve"> </w:t>
      </w:r>
    </w:p>
    <w:p w14:paraId="2374A584">
      <w:pPr>
        <w:rPr>
          <w:rFonts w:hint="eastAsia" w:ascii="仿宋" w:hAnsi="仿宋" w:eastAsia="仿宋"/>
        </w:rPr>
      </w:pPr>
      <w:r>
        <w:rPr>
          <w:rFonts w:hint="eastAsia" w:ascii="仿宋" w:hAnsi="仿宋" w:eastAsia="仿宋"/>
        </w:rPr>
        <w:t xml:space="preserve"> </w:t>
      </w:r>
    </w:p>
    <w:p w14:paraId="58C401F9">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UzN2ZjYzM0NWNlZDc5YmM3ZTU0YjIzZmI4YzIxMDUifQ=="/>
  </w:docVars>
  <w:rsids>
    <w:rsidRoot w:val="00FA597F"/>
    <w:rsid w:val="000E1913"/>
    <w:rsid w:val="009627C4"/>
    <w:rsid w:val="00FA597F"/>
    <w:rsid w:val="042F17C8"/>
    <w:rsid w:val="04A10F62"/>
    <w:rsid w:val="10DC4BCD"/>
    <w:rsid w:val="11DD55A3"/>
    <w:rsid w:val="132536A6"/>
    <w:rsid w:val="14972381"/>
    <w:rsid w:val="15810E2B"/>
    <w:rsid w:val="15AE34DE"/>
    <w:rsid w:val="16FF7B5D"/>
    <w:rsid w:val="1917616B"/>
    <w:rsid w:val="194404DD"/>
    <w:rsid w:val="19A846E9"/>
    <w:rsid w:val="1C1E6FB0"/>
    <w:rsid w:val="1D344C11"/>
    <w:rsid w:val="1E47519D"/>
    <w:rsid w:val="1FED554B"/>
    <w:rsid w:val="21CE674A"/>
    <w:rsid w:val="26865DB2"/>
    <w:rsid w:val="28C11323"/>
    <w:rsid w:val="29711EAE"/>
    <w:rsid w:val="2CCA2E9C"/>
    <w:rsid w:val="2DB40222"/>
    <w:rsid w:val="30E3277E"/>
    <w:rsid w:val="30F878AC"/>
    <w:rsid w:val="32C20171"/>
    <w:rsid w:val="331A40FA"/>
    <w:rsid w:val="33AD0E22"/>
    <w:rsid w:val="34086058"/>
    <w:rsid w:val="351A4295"/>
    <w:rsid w:val="36681030"/>
    <w:rsid w:val="377E7471"/>
    <w:rsid w:val="378F3508"/>
    <w:rsid w:val="38060B00"/>
    <w:rsid w:val="38AD26E7"/>
    <w:rsid w:val="392456E2"/>
    <w:rsid w:val="3AAB598F"/>
    <w:rsid w:val="3B1937BF"/>
    <w:rsid w:val="3CD64F45"/>
    <w:rsid w:val="3D406863"/>
    <w:rsid w:val="3EAC5F05"/>
    <w:rsid w:val="4050500F"/>
    <w:rsid w:val="411E52E0"/>
    <w:rsid w:val="41AE46E3"/>
    <w:rsid w:val="41D63C39"/>
    <w:rsid w:val="423176A4"/>
    <w:rsid w:val="440305EA"/>
    <w:rsid w:val="44654E01"/>
    <w:rsid w:val="45B20519"/>
    <w:rsid w:val="45F36B68"/>
    <w:rsid w:val="475F1FDB"/>
    <w:rsid w:val="47CD163B"/>
    <w:rsid w:val="4A742241"/>
    <w:rsid w:val="4E8B1908"/>
    <w:rsid w:val="4F675ED1"/>
    <w:rsid w:val="523429E2"/>
    <w:rsid w:val="53CA4C80"/>
    <w:rsid w:val="559B2D78"/>
    <w:rsid w:val="5C933840"/>
    <w:rsid w:val="615B47CC"/>
    <w:rsid w:val="64591E34"/>
    <w:rsid w:val="64694B71"/>
    <w:rsid w:val="655645C6"/>
    <w:rsid w:val="676527E4"/>
    <w:rsid w:val="68D93544"/>
    <w:rsid w:val="6C046B2A"/>
    <w:rsid w:val="6E4F041A"/>
    <w:rsid w:val="7007308C"/>
    <w:rsid w:val="718F0F0F"/>
    <w:rsid w:val="71972589"/>
    <w:rsid w:val="71A803D2"/>
    <w:rsid w:val="71C12E73"/>
    <w:rsid w:val="71FE401B"/>
    <w:rsid w:val="721E46BD"/>
    <w:rsid w:val="73F456D6"/>
    <w:rsid w:val="77C67389"/>
    <w:rsid w:val="782B3690"/>
    <w:rsid w:val="7BAD321D"/>
    <w:rsid w:val="7BD73A3D"/>
    <w:rsid w:val="7ECB69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character" w:default="1" w:styleId="3">
    <w:name w:val="Default Paragraph Font"/>
    <w:autoRedefine/>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2909</Words>
  <Characters>3133</Characters>
  <Lines>22</Lines>
  <Paragraphs>6</Paragraphs>
  <TotalTime>15</TotalTime>
  <ScaleCrop>false</ScaleCrop>
  <LinksUpToDate>false</LinksUpToDate>
  <CharactersWithSpaces>3167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2024-03-04T00:26:00Z</dcterms:created>
  <dc:creator>Admia</dc:creator>
  <cp:lastModifiedBy>Relieved.</cp:lastModifiedBy>
  <dcterms:modified xsi:type="dcterms:W3CDTF">2026-03-02T05:01:39Z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87DB3CCECE5B420FB91A1302B25B8FC4_13</vt:lpwstr>
  </property>
  <property fmtid="{D5CDD505-2E9C-101B-9397-08002B2CF9AE}" pid="4" name="KSOTemplateDocerSaveRecord">
    <vt:lpwstr>eyJoZGlkIjoiOTgwNzgwOWM1MWFhZGVhZGNhODZkOTJhODdmZTI4NGMiLCJ1c2VySWQiOiI3NDMzOTc3MzIifQ==</vt:lpwstr>
  </property>
</Properties>
</file>